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5C01" w14:textId="77777777" w:rsidR="007D3502" w:rsidRPr="007D3502" w:rsidRDefault="007D3502" w:rsidP="007D3502">
      <w:pPr>
        <w:ind w:left="0" w:firstLine="0"/>
        <w:jc w:val="center"/>
        <w:rPr>
          <w:rFonts w:ascii="Arial" w:hAnsi="Arial" w:cs="Arial"/>
          <w:b/>
          <w:bCs/>
          <w:sz w:val="50"/>
          <w:szCs w:val="50"/>
          <w:lang w:eastAsia="en-ZW"/>
        </w:rPr>
      </w:pPr>
      <w:r w:rsidRPr="007D3502">
        <w:rPr>
          <w:rFonts w:ascii="Arial" w:hAnsi="Arial" w:cs="Arial"/>
          <w:b/>
          <w:bCs/>
          <w:sz w:val="50"/>
          <w:szCs w:val="50"/>
          <w:lang w:eastAsia="en-ZW"/>
        </w:rPr>
        <w:t>COURT WATCH 3/2022</w:t>
      </w:r>
    </w:p>
    <w:p w14:paraId="134E884E" w14:textId="77777777" w:rsidR="007D3502" w:rsidRPr="007D3502" w:rsidRDefault="007D3502" w:rsidP="007D3502">
      <w:pPr>
        <w:spacing w:after="120"/>
        <w:ind w:left="0" w:firstLine="0"/>
        <w:jc w:val="center"/>
        <w:rPr>
          <w:rFonts w:ascii="Arial" w:hAnsi="Arial" w:cs="Arial"/>
          <w:b/>
          <w:bCs/>
          <w:sz w:val="28"/>
          <w:szCs w:val="28"/>
          <w:lang w:eastAsia="en-ZW"/>
        </w:rPr>
      </w:pPr>
      <w:r w:rsidRPr="007D3502">
        <w:rPr>
          <w:rFonts w:ascii="Arial" w:hAnsi="Arial" w:cs="Arial"/>
          <w:b/>
          <w:bCs/>
          <w:sz w:val="28"/>
          <w:szCs w:val="28"/>
          <w:lang w:eastAsia="en-ZW"/>
        </w:rPr>
        <w:t>[31st May 2022]</w:t>
      </w:r>
    </w:p>
    <w:p w14:paraId="46CFC837" w14:textId="77777777" w:rsidR="007D3502" w:rsidRPr="007D3502" w:rsidRDefault="007D3502" w:rsidP="007D3502">
      <w:pPr>
        <w:spacing w:after="120"/>
        <w:ind w:left="0" w:firstLine="0"/>
        <w:jc w:val="center"/>
        <w:rPr>
          <w:rFonts w:ascii="Arial" w:hAnsi="Arial" w:cs="Arial"/>
          <w:b/>
          <w:bCs/>
          <w:color w:val="CC0000"/>
          <w:sz w:val="28"/>
          <w:szCs w:val="28"/>
          <w:lang w:val="en-ZW"/>
        </w:rPr>
      </w:pPr>
      <w:r w:rsidRPr="007D3502">
        <w:rPr>
          <w:rFonts w:ascii="Arial" w:hAnsi="Arial" w:cs="Arial"/>
          <w:b/>
          <w:bCs/>
          <w:color w:val="CC0000"/>
          <w:sz w:val="28"/>
          <w:szCs w:val="28"/>
          <w:lang w:val="en-ZW"/>
        </w:rPr>
        <w:t>Constitutional Court Rules on Age of Consent</w:t>
      </w:r>
    </w:p>
    <w:p w14:paraId="2C40C272" w14:textId="77777777" w:rsidR="007D3502" w:rsidRPr="007D3502" w:rsidRDefault="007D3502" w:rsidP="007D3502">
      <w:pPr>
        <w:spacing w:after="120"/>
        <w:ind w:left="0" w:firstLine="0"/>
        <w:jc w:val="both"/>
        <w:rPr>
          <w:rFonts w:ascii="Arial" w:hAnsi="Arial" w:cs="Arial"/>
          <w:sz w:val="28"/>
          <w:szCs w:val="28"/>
          <w:lang w:val="en-ZW"/>
        </w:rPr>
      </w:pPr>
      <w:r w:rsidRPr="007D3502">
        <w:rPr>
          <w:rFonts w:ascii="Arial" w:hAnsi="Arial" w:cs="Arial"/>
          <w:sz w:val="28"/>
          <w:szCs w:val="28"/>
          <w:lang w:val="en-ZW"/>
        </w:rPr>
        <w:t xml:space="preserve">On the 24th May the Constitutional Court declared that provisions of the Criminal Law Code governing the age at which children can consent to sexual intercourse were unconstitutional.  The court was delivering its judgment in the case of </w:t>
      </w:r>
      <w:proofErr w:type="spellStart"/>
      <w:r w:rsidRPr="007D3502">
        <w:rPr>
          <w:rFonts w:ascii="Arial" w:hAnsi="Arial" w:cs="Arial"/>
          <w:i/>
          <w:iCs/>
          <w:sz w:val="28"/>
          <w:szCs w:val="28"/>
          <w:lang w:val="en-ZW"/>
        </w:rPr>
        <w:t>Kawenda</w:t>
      </w:r>
      <w:proofErr w:type="spellEnd"/>
      <w:r w:rsidRPr="007D3502">
        <w:rPr>
          <w:rFonts w:ascii="Arial" w:hAnsi="Arial" w:cs="Arial"/>
          <w:i/>
          <w:iCs/>
          <w:sz w:val="28"/>
          <w:szCs w:val="28"/>
          <w:lang w:val="en-ZW"/>
        </w:rPr>
        <w:t xml:space="preserve"> v Minister of Justice, Legal and Parliamentary Affairs &amp; Others</w:t>
      </w:r>
      <w:r w:rsidRPr="007D3502">
        <w:rPr>
          <w:rFonts w:ascii="Arial" w:hAnsi="Arial" w:cs="Arial"/>
          <w:sz w:val="28"/>
          <w:szCs w:val="28"/>
          <w:lang w:val="en-ZW"/>
        </w:rPr>
        <w:t xml:space="preserve">.  The case was brought by Veritas and the appellant was represented by Mr Tendai Biti.  The judgment can be accessed on the Veritas website </w:t>
      </w:r>
      <w:r w:rsidRPr="007D3502">
        <w:rPr>
          <w:rFonts w:ascii="Arial" w:hAnsi="Arial" w:cs="Arial"/>
          <w:i/>
          <w:iCs/>
          <w:sz w:val="28"/>
          <w:szCs w:val="28"/>
          <w:lang w:val="en-ZW"/>
        </w:rPr>
        <w:t>[</w:t>
      </w:r>
      <w:hyperlink r:id="rId7" w:history="1">
        <w:r w:rsidRPr="007D3502">
          <w:rPr>
            <w:rFonts w:ascii="Arial" w:hAnsi="Arial" w:cs="Arial"/>
            <w:i/>
            <w:iCs/>
            <w:color w:val="0000CC"/>
            <w:sz w:val="28"/>
            <w:szCs w:val="28"/>
            <w:u w:val="single"/>
            <w:lang w:val="en-ZW"/>
          </w:rPr>
          <w:t>link</w:t>
        </w:r>
      </w:hyperlink>
      <w:r w:rsidRPr="007D3502">
        <w:rPr>
          <w:rFonts w:ascii="Arial" w:hAnsi="Arial" w:cs="Arial"/>
          <w:i/>
          <w:iCs/>
          <w:sz w:val="28"/>
          <w:szCs w:val="28"/>
          <w:lang w:val="en-ZW"/>
        </w:rPr>
        <w:t>]</w:t>
      </w:r>
      <w:r w:rsidRPr="007D3502">
        <w:rPr>
          <w:rFonts w:ascii="Arial" w:hAnsi="Arial" w:cs="Arial"/>
          <w:sz w:val="28"/>
          <w:szCs w:val="28"/>
          <w:lang w:val="en-ZW"/>
        </w:rPr>
        <w:t>.</w:t>
      </w:r>
    </w:p>
    <w:p w14:paraId="4B70486F" w14:textId="77777777" w:rsidR="007D3502" w:rsidRPr="007D3502" w:rsidRDefault="007D3502" w:rsidP="007D3502">
      <w:pPr>
        <w:spacing w:before="120" w:after="60"/>
        <w:ind w:left="0" w:firstLine="0"/>
        <w:jc w:val="center"/>
        <w:rPr>
          <w:rFonts w:ascii="Arial" w:hAnsi="Arial" w:cs="Arial"/>
          <w:b/>
          <w:bCs/>
          <w:sz w:val="28"/>
          <w:szCs w:val="28"/>
          <w:u w:val="single"/>
          <w:lang w:val="en-ZW"/>
        </w:rPr>
      </w:pPr>
      <w:r w:rsidRPr="007D3502">
        <w:rPr>
          <w:rFonts w:ascii="Arial" w:hAnsi="Arial" w:cs="Arial"/>
          <w:b/>
          <w:bCs/>
          <w:sz w:val="28"/>
          <w:szCs w:val="28"/>
          <w:u w:val="single"/>
          <w:lang w:val="en-ZW"/>
        </w:rPr>
        <w:t>Background to the Case</w:t>
      </w:r>
    </w:p>
    <w:p w14:paraId="2D97ACEE" w14:textId="77777777" w:rsidR="007D3502" w:rsidRPr="007D3502" w:rsidRDefault="007D3502" w:rsidP="007D3502">
      <w:pPr>
        <w:spacing w:before="120" w:after="60"/>
        <w:ind w:left="0" w:firstLine="0"/>
        <w:rPr>
          <w:rFonts w:ascii="Arial" w:hAnsi="Arial" w:cs="Arial"/>
          <w:b/>
          <w:bCs/>
          <w:sz w:val="28"/>
          <w:szCs w:val="28"/>
        </w:rPr>
      </w:pPr>
      <w:r w:rsidRPr="007D3502">
        <w:rPr>
          <w:rFonts w:ascii="Arial" w:hAnsi="Arial" w:cs="Arial"/>
          <w:b/>
          <w:bCs/>
          <w:sz w:val="28"/>
          <w:szCs w:val="28"/>
        </w:rPr>
        <w:t>The law</w:t>
      </w:r>
    </w:p>
    <w:p w14:paraId="2ED201CD" w14:textId="77777777" w:rsidR="007D3502" w:rsidRPr="007D3502" w:rsidRDefault="007D3502" w:rsidP="007D3502">
      <w:pPr>
        <w:spacing w:after="60"/>
        <w:ind w:left="0" w:firstLine="0"/>
        <w:jc w:val="both"/>
        <w:rPr>
          <w:rFonts w:ascii="Arial" w:hAnsi="Arial" w:cs="Arial"/>
          <w:sz w:val="28"/>
          <w:szCs w:val="28"/>
        </w:rPr>
      </w:pPr>
      <w:r w:rsidRPr="007D3502">
        <w:rPr>
          <w:rFonts w:ascii="Arial" w:hAnsi="Arial" w:cs="Arial"/>
          <w:sz w:val="28"/>
          <w:szCs w:val="28"/>
        </w:rPr>
        <w:t>Part III of Chapter V of the Criminal Law Code creates several crimes which involve sexual activities with young persons (defined in the Code as boys and girls under the age of 16 years):</w:t>
      </w:r>
    </w:p>
    <w:p w14:paraId="499BD90F"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b/>
          <w:bCs/>
          <w:sz w:val="28"/>
          <w:szCs w:val="28"/>
        </w:rPr>
        <w:t>Section 70</w:t>
      </w:r>
      <w:r w:rsidRPr="007D3502">
        <w:rPr>
          <w:rFonts w:ascii="Arial" w:hAnsi="Arial" w:cs="Arial"/>
          <w:sz w:val="28"/>
          <w:szCs w:val="28"/>
        </w:rPr>
        <w:t xml:space="preserve"> makes it a crime for anyone, whatever their age, to have extra-marital sexual intercourse in Zimbabwe with a young person or to commit indecent acts with a young person.</w:t>
      </w:r>
    </w:p>
    <w:p w14:paraId="7AE2E824" w14:textId="77777777" w:rsidR="007D3502" w:rsidRPr="007D3502" w:rsidRDefault="007D3502" w:rsidP="007D3502">
      <w:pPr>
        <w:tabs>
          <w:tab w:val="num" w:pos="360"/>
        </w:tabs>
        <w:spacing w:after="60"/>
        <w:ind w:left="360" w:hanging="360"/>
        <w:jc w:val="both"/>
        <w:rPr>
          <w:rFonts w:ascii="Arial" w:hAnsi="Arial" w:cs="Arial"/>
          <w:color w:val="000000"/>
          <w:sz w:val="28"/>
          <w:szCs w:val="28"/>
        </w:rPr>
      </w:pPr>
      <w:r w:rsidRPr="007D3502">
        <w:rPr>
          <w:rFonts w:ascii="Arial" w:hAnsi="Arial" w:cs="Arial"/>
          <w:b/>
          <w:bCs/>
          <w:sz w:val="28"/>
          <w:szCs w:val="28"/>
        </w:rPr>
        <w:t>Section 71</w:t>
      </w:r>
      <w:r w:rsidRPr="007D3502">
        <w:rPr>
          <w:rFonts w:ascii="Arial" w:hAnsi="Arial" w:cs="Arial"/>
          <w:sz w:val="28"/>
          <w:szCs w:val="28"/>
        </w:rPr>
        <w:t xml:space="preserve"> makes the crime extra-territorial, declaring it to be a crime for a citizen or resident of Zimbabwe, whatever their age, to have extra-marital sexual intercourse or to commit indecent acts with a young person outside </w:t>
      </w:r>
      <w:r w:rsidRPr="007D3502">
        <w:rPr>
          <w:rFonts w:ascii="Arial" w:hAnsi="Arial" w:cs="Arial"/>
          <w:sz w:val="28"/>
          <w:szCs w:val="28"/>
          <w:lang w:val="en-ZA"/>
        </w:rPr>
        <w:t>Zimbabwe</w:t>
      </w:r>
      <w:r w:rsidRPr="007D3502">
        <w:rPr>
          <w:rFonts w:ascii="Arial" w:hAnsi="Arial" w:cs="Arial"/>
          <w:color w:val="000000"/>
          <w:sz w:val="28"/>
          <w:szCs w:val="28"/>
        </w:rPr>
        <w:t>.</w:t>
      </w:r>
    </w:p>
    <w:p w14:paraId="6DF0A928"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Under</w:t>
      </w:r>
      <w:r w:rsidRPr="007D3502">
        <w:rPr>
          <w:rFonts w:ascii="Arial" w:hAnsi="Arial" w:cs="Arial"/>
          <w:b/>
          <w:bCs/>
          <w:sz w:val="28"/>
          <w:szCs w:val="28"/>
        </w:rPr>
        <w:t xml:space="preserve"> Section 76</w:t>
      </w:r>
      <w:r w:rsidRPr="007D3502">
        <w:rPr>
          <w:rFonts w:ascii="Arial" w:hAnsi="Arial" w:cs="Arial"/>
          <w:sz w:val="28"/>
          <w:szCs w:val="28"/>
        </w:rPr>
        <w:t xml:space="preserve"> it is a crime for persons in control of premises to permit anyone to have extra-marital sexual intercourse or to commit indecent acts with a young person in those premises.</w:t>
      </w:r>
    </w:p>
    <w:p w14:paraId="44965BF1"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b/>
          <w:bCs/>
          <w:sz w:val="28"/>
          <w:szCs w:val="28"/>
        </w:rPr>
        <w:t>Section 83,</w:t>
      </w:r>
      <w:r w:rsidRPr="007D3502">
        <w:rPr>
          <w:rFonts w:ascii="Arial" w:hAnsi="Arial" w:cs="Arial"/>
          <w:sz w:val="28"/>
          <w:szCs w:val="28"/>
        </w:rPr>
        <w:t xml:space="preserve"> which makes it a crime to procure anyone for the purpose of unlawful sexual activities, prescribes a higher sentence if the person procured is a young person.</w:t>
      </w:r>
    </w:p>
    <w:p w14:paraId="5752027E"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b/>
          <w:bCs/>
          <w:sz w:val="28"/>
          <w:szCs w:val="28"/>
        </w:rPr>
        <w:t>Section 86</w:t>
      </w:r>
      <w:r w:rsidRPr="007D3502">
        <w:rPr>
          <w:rFonts w:ascii="Arial" w:hAnsi="Arial" w:cs="Arial"/>
          <w:sz w:val="28"/>
          <w:szCs w:val="28"/>
        </w:rPr>
        <w:t xml:space="preserve"> makes it a crime for the owner of a place to induce or allow young persons to be in the place for the purpose of engaging in unlawful sexual activities.</w:t>
      </w:r>
    </w:p>
    <w:p w14:paraId="003682BB" w14:textId="77777777" w:rsidR="007D3502" w:rsidRPr="007D3502" w:rsidRDefault="007D3502" w:rsidP="007D3502">
      <w:pPr>
        <w:spacing w:after="120"/>
        <w:ind w:left="0" w:firstLine="0"/>
        <w:jc w:val="both"/>
        <w:rPr>
          <w:rFonts w:ascii="Arial" w:hAnsi="Arial" w:cs="Arial"/>
          <w:sz w:val="28"/>
          <w:szCs w:val="28"/>
          <w:lang w:val="en-ZW"/>
        </w:rPr>
      </w:pPr>
      <w:r w:rsidRPr="007D3502">
        <w:rPr>
          <w:rFonts w:ascii="Arial" w:hAnsi="Arial" w:cs="Arial"/>
          <w:sz w:val="28"/>
          <w:szCs w:val="28"/>
          <w:lang w:val="en-ZW"/>
        </w:rPr>
        <w:t>All these sections protect children under the age of 16 but they do nothing for youngsters between the ages of 16 and 18.  Those youngsters are treated as adults by the Code whereas, according to section 81(1) of the Constitution, they are children with the right to be protected from sexual exploitation.</w:t>
      </w:r>
    </w:p>
    <w:p w14:paraId="4641E313" w14:textId="77777777" w:rsidR="007D3502" w:rsidRPr="007D3502" w:rsidRDefault="007D3502" w:rsidP="007D3502">
      <w:pPr>
        <w:spacing w:before="120" w:after="60"/>
        <w:ind w:left="0" w:firstLine="0"/>
        <w:rPr>
          <w:rFonts w:ascii="Arial" w:hAnsi="Arial" w:cs="Arial"/>
          <w:b/>
          <w:bCs/>
          <w:sz w:val="28"/>
          <w:szCs w:val="28"/>
        </w:rPr>
      </w:pPr>
      <w:r w:rsidRPr="007D3502">
        <w:rPr>
          <w:rFonts w:ascii="Arial" w:hAnsi="Arial" w:cs="Arial"/>
          <w:b/>
          <w:bCs/>
          <w:sz w:val="28"/>
          <w:szCs w:val="28"/>
        </w:rPr>
        <w:t>The case</w:t>
      </w:r>
    </w:p>
    <w:p w14:paraId="68B13102" w14:textId="77777777" w:rsidR="007D3502" w:rsidRPr="007D3502" w:rsidRDefault="007D3502" w:rsidP="007D3502">
      <w:pPr>
        <w:spacing w:after="60"/>
        <w:ind w:left="0" w:firstLine="0"/>
        <w:jc w:val="both"/>
        <w:rPr>
          <w:rFonts w:ascii="Arial" w:hAnsi="Arial" w:cs="Arial"/>
          <w:sz w:val="28"/>
          <w:szCs w:val="28"/>
        </w:rPr>
      </w:pPr>
      <w:r w:rsidRPr="007D3502">
        <w:rPr>
          <w:rFonts w:ascii="Arial" w:hAnsi="Arial" w:cs="Arial"/>
          <w:sz w:val="28"/>
          <w:szCs w:val="28"/>
        </w:rPr>
        <w:t xml:space="preserve">Veritas sponsored two applicants, Ms </w:t>
      </w:r>
      <w:proofErr w:type="spellStart"/>
      <w:r w:rsidRPr="007D3502">
        <w:rPr>
          <w:rFonts w:ascii="Arial" w:hAnsi="Arial" w:cs="Arial"/>
          <w:sz w:val="28"/>
          <w:szCs w:val="28"/>
        </w:rPr>
        <w:t>Kawenda</w:t>
      </w:r>
      <w:proofErr w:type="spellEnd"/>
      <w:r w:rsidRPr="007D3502">
        <w:rPr>
          <w:rFonts w:ascii="Arial" w:hAnsi="Arial" w:cs="Arial"/>
          <w:sz w:val="28"/>
          <w:szCs w:val="28"/>
        </w:rPr>
        <w:t xml:space="preserve"> and Ms </w:t>
      </w:r>
      <w:proofErr w:type="spellStart"/>
      <w:r w:rsidRPr="007D3502">
        <w:rPr>
          <w:rFonts w:ascii="Arial" w:hAnsi="Arial" w:cs="Arial"/>
          <w:sz w:val="28"/>
          <w:szCs w:val="28"/>
        </w:rPr>
        <w:t>Mudzuru</w:t>
      </w:r>
      <w:proofErr w:type="spellEnd"/>
      <w:r w:rsidRPr="007D3502">
        <w:rPr>
          <w:rFonts w:ascii="Arial" w:hAnsi="Arial" w:cs="Arial"/>
          <w:sz w:val="28"/>
          <w:szCs w:val="28"/>
        </w:rPr>
        <w:t xml:space="preserve">, to approach the High Court in the public interest for an order declaring the above sections to be unconstitutional because they do not protect children between the ages of 16 and 18.  The High Court (Mr Justice </w:t>
      </w:r>
      <w:proofErr w:type="spellStart"/>
      <w:r w:rsidRPr="007D3502">
        <w:rPr>
          <w:rFonts w:ascii="Arial" w:hAnsi="Arial" w:cs="Arial"/>
          <w:sz w:val="28"/>
          <w:szCs w:val="28"/>
        </w:rPr>
        <w:t>Tagu</w:t>
      </w:r>
      <w:proofErr w:type="spellEnd"/>
      <w:r w:rsidRPr="007D3502">
        <w:rPr>
          <w:rFonts w:ascii="Arial" w:hAnsi="Arial" w:cs="Arial"/>
          <w:sz w:val="28"/>
          <w:szCs w:val="28"/>
        </w:rPr>
        <w:t>) dismissed the application in January last year on the grounds that:</w:t>
      </w:r>
    </w:p>
    <w:p w14:paraId="70B21189"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 xml:space="preserve">teenagers naturally engage in sexual </w:t>
      </w:r>
      <w:proofErr w:type="gramStart"/>
      <w:r w:rsidRPr="007D3502">
        <w:rPr>
          <w:rFonts w:ascii="Arial" w:hAnsi="Arial" w:cs="Arial"/>
          <w:sz w:val="28"/>
          <w:szCs w:val="28"/>
        </w:rPr>
        <w:t>activity;  the</w:t>
      </w:r>
      <w:proofErr w:type="gramEnd"/>
      <w:r w:rsidRPr="007D3502">
        <w:rPr>
          <w:rFonts w:ascii="Arial" w:hAnsi="Arial" w:cs="Arial"/>
          <w:sz w:val="28"/>
          <w:szCs w:val="28"/>
        </w:rPr>
        <w:t xml:space="preserve"> law cannot stop them from doing so and they should not be punished for it criminally, and </w:t>
      </w:r>
    </w:p>
    <w:p w14:paraId="7A579F9D"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 xml:space="preserve">many other statutes distinguish between children under the age of 16 and young persons between the ages of 16 and </w:t>
      </w:r>
      <w:proofErr w:type="gramStart"/>
      <w:r w:rsidRPr="007D3502">
        <w:rPr>
          <w:rFonts w:ascii="Arial" w:hAnsi="Arial" w:cs="Arial"/>
          <w:sz w:val="28"/>
          <w:szCs w:val="28"/>
        </w:rPr>
        <w:t>18;  all</w:t>
      </w:r>
      <w:proofErr w:type="gramEnd"/>
      <w:r w:rsidRPr="007D3502">
        <w:rPr>
          <w:rFonts w:ascii="Arial" w:hAnsi="Arial" w:cs="Arial"/>
          <w:sz w:val="28"/>
          <w:szCs w:val="28"/>
        </w:rPr>
        <w:t xml:space="preserve"> these statutes should be amended rather than just the sections of the Criminal Law Code.</w:t>
      </w:r>
    </w:p>
    <w:p w14:paraId="0E934B24" w14:textId="77777777" w:rsidR="007D3502" w:rsidRPr="007D3502" w:rsidRDefault="007D3502" w:rsidP="007D3502">
      <w:pPr>
        <w:spacing w:after="120"/>
        <w:ind w:left="0" w:firstLine="0"/>
        <w:jc w:val="both"/>
        <w:rPr>
          <w:rFonts w:ascii="Arial" w:hAnsi="Arial" w:cs="Arial"/>
          <w:sz w:val="28"/>
          <w:szCs w:val="28"/>
          <w:lang w:val="en-ZW"/>
        </w:rPr>
      </w:pPr>
      <w:proofErr w:type="gramStart"/>
      <w:r w:rsidRPr="007D3502">
        <w:rPr>
          <w:rFonts w:ascii="Arial" w:hAnsi="Arial" w:cs="Arial"/>
          <w:sz w:val="28"/>
          <w:szCs w:val="28"/>
          <w:lang w:val="en-ZW"/>
        </w:rPr>
        <w:t>Hence</w:t>
      </w:r>
      <w:proofErr w:type="gramEnd"/>
      <w:r w:rsidRPr="007D3502">
        <w:rPr>
          <w:rFonts w:ascii="Arial" w:hAnsi="Arial" w:cs="Arial"/>
          <w:sz w:val="28"/>
          <w:szCs w:val="28"/>
          <w:lang w:val="en-ZW"/>
        </w:rPr>
        <w:t xml:space="preserve"> he declined to declare the sections to be unconstitutional.  Understandably dissatisfied with this judgment </w:t>
      </w:r>
      <w:r w:rsidRPr="007D3502">
        <w:rPr>
          <w:rFonts w:ascii="Arial" w:hAnsi="Arial" w:cs="Arial"/>
          <w:i/>
          <w:iCs/>
          <w:sz w:val="28"/>
          <w:szCs w:val="28"/>
          <w:lang w:val="en-ZW"/>
        </w:rPr>
        <w:t>[</w:t>
      </w:r>
      <w:hyperlink r:id="rId8" w:history="1">
        <w:r w:rsidRPr="007D3502">
          <w:rPr>
            <w:rFonts w:ascii="Arial" w:hAnsi="Arial" w:cs="Arial"/>
            <w:i/>
            <w:iCs/>
            <w:color w:val="0000CC"/>
            <w:sz w:val="28"/>
            <w:szCs w:val="28"/>
            <w:u w:val="single"/>
            <w:lang w:val="en-ZW"/>
          </w:rPr>
          <w:t>link</w:t>
        </w:r>
      </w:hyperlink>
      <w:r w:rsidRPr="007D3502">
        <w:rPr>
          <w:rFonts w:ascii="Arial" w:hAnsi="Arial" w:cs="Arial"/>
          <w:i/>
          <w:iCs/>
          <w:sz w:val="28"/>
          <w:szCs w:val="28"/>
          <w:lang w:val="en-ZW"/>
        </w:rPr>
        <w:t>]</w:t>
      </w:r>
      <w:r w:rsidRPr="007D3502">
        <w:rPr>
          <w:rFonts w:ascii="Arial" w:hAnsi="Arial" w:cs="Arial"/>
          <w:sz w:val="28"/>
          <w:szCs w:val="28"/>
          <w:lang w:val="en-ZW"/>
        </w:rPr>
        <w:t xml:space="preserve">, Ms </w:t>
      </w:r>
      <w:proofErr w:type="spellStart"/>
      <w:r w:rsidRPr="007D3502">
        <w:rPr>
          <w:rFonts w:ascii="Arial" w:hAnsi="Arial" w:cs="Arial"/>
          <w:sz w:val="28"/>
          <w:szCs w:val="28"/>
          <w:lang w:val="en-ZW"/>
        </w:rPr>
        <w:t>Kawenda</w:t>
      </w:r>
      <w:proofErr w:type="spellEnd"/>
      <w:r w:rsidRPr="007D3502">
        <w:rPr>
          <w:rFonts w:ascii="Arial" w:hAnsi="Arial" w:cs="Arial"/>
          <w:sz w:val="28"/>
          <w:szCs w:val="28"/>
          <w:lang w:val="en-ZW"/>
        </w:rPr>
        <w:t xml:space="preserve"> and her sponsors appealed to the Constitutional Court.</w:t>
      </w:r>
    </w:p>
    <w:p w14:paraId="43B6565B" w14:textId="77777777" w:rsidR="007D3502" w:rsidRPr="007D3502" w:rsidRDefault="007D3502" w:rsidP="007D3502">
      <w:pPr>
        <w:spacing w:before="120" w:after="60"/>
        <w:ind w:left="0" w:firstLine="0"/>
        <w:jc w:val="center"/>
        <w:rPr>
          <w:rFonts w:ascii="Arial" w:hAnsi="Arial" w:cs="Arial"/>
          <w:b/>
          <w:bCs/>
          <w:sz w:val="28"/>
          <w:szCs w:val="28"/>
          <w:u w:val="single"/>
          <w:lang w:val="en-ZW"/>
        </w:rPr>
      </w:pPr>
      <w:r w:rsidRPr="007D3502">
        <w:rPr>
          <w:rFonts w:ascii="Arial" w:hAnsi="Arial" w:cs="Arial"/>
          <w:b/>
          <w:bCs/>
          <w:sz w:val="28"/>
          <w:szCs w:val="28"/>
          <w:u w:val="single"/>
          <w:lang w:val="en-ZW"/>
        </w:rPr>
        <w:t>The Constitutional Court Judgment</w:t>
      </w:r>
    </w:p>
    <w:p w14:paraId="451BB654" w14:textId="77777777" w:rsidR="007D3502" w:rsidRPr="007D3502" w:rsidRDefault="007D3502" w:rsidP="007D3502">
      <w:pPr>
        <w:spacing w:after="60"/>
        <w:ind w:left="0" w:firstLine="0"/>
        <w:jc w:val="both"/>
        <w:rPr>
          <w:rFonts w:ascii="Arial" w:hAnsi="Arial" w:cs="Arial"/>
          <w:sz w:val="28"/>
          <w:szCs w:val="28"/>
        </w:rPr>
      </w:pPr>
      <w:r w:rsidRPr="007D3502">
        <w:rPr>
          <w:rFonts w:ascii="Arial" w:hAnsi="Arial" w:cs="Arial"/>
          <w:sz w:val="28"/>
          <w:szCs w:val="28"/>
        </w:rPr>
        <w:t xml:space="preserve">The judgment of the Constitutional Court was delivered by </w:t>
      </w:r>
      <w:proofErr w:type="spellStart"/>
      <w:r w:rsidRPr="007D3502">
        <w:rPr>
          <w:rFonts w:ascii="Arial" w:hAnsi="Arial" w:cs="Arial"/>
          <w:sz w:val="28"/>
          <w:szCs w:val="28"/>
        </w:rPr>
        <w:t>Makarau</w:t>
      </w:r>
      <w:proofErr w:type="spellEnd"/>
      <w:r w:rsidRPr="007D3502">
        <w:rPr>
          <w:rFonts w:ascii="Arial" w:hAnsi="Arial" w:cs="Arial"/>
          <w:sz w:val="28"/>
          <w:szCs w:val="28"/>
        </w:rPr>
        <w:t xml:space="preserve"> JCC.  She held that:</w:t>
      </w:r>
    </w:p>
    <w:p w14:paraId="532E831D"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The simple issue before the Court was whether the sections of the Criminal Law Code which we outlined above violated the Constitution.  Resolving this issue entailed:</w:t>
      </w:r>
    </w:p>
    <w:p w14:paraId="3A68DE21" w14:textId="77777777" w:rsidR="007D3502" w:rsidRPr="007D3502" w:rsidRDefault="007D3502" w:rsidP="007D3502">
      <w:pPr>
        <w:numPr>
          <w:ilvl w:val="1"/>
          <w:numId w:val="23"/>
        </w:numPr>
        <w:spacing w:after="60"/>
        <w:ind w:right="288"/>
        <w:jc w:val="both"/>
        <w:rPr>
          <w:rFonts w:ascii="Arial" w:hAnsi="Arial" w:cs="Arial"/>
          <w:sz w:val="28"/>
          <w:szCs w:val="28"/>
        </w:rPr>
      </w:pPr>
      <w:r w:rsidRPr="007D3502">
        <w:rPr>
          <w:rFonts w:ascii="Arial" w:hAnsi="Arial" w:cs="Arial"/>
          <w:sz w:val="28"/>
          <w:szCs w:val="28"/>
        </w:rPr>
        <w:t>interpreting the relevant provisions of the Constitution,</w:t>
      </w:r>
    </w:p>
    <w:p w14:paraId="641E75B9" w14:textId="77777777" w:rsidR="007D3502" w:rsidRPr="007D3502" w:rsidRDefault="007D3502" w:rsidP="007D3502">
      <w:pPr>
        <w:numPr>
          <w:ilvl w:val="1"/>
          <w:numId w:val="23"/>
        </w:numPr>
        <w:spacing w:after="60"/>
        <w:ind w:right="288"/>
        <w:jc w:val="both"/>
        <w:rPr>
          <w:rFonts w:ascii="Arial" w:hAnsi="Arial" w:cs="Arial"/>
          <w:sz w:val="28"/>
          <w:szCs w:val="28"/>
        </w:rPr>
      </w:pPr>
      <w:r w:rsidRPr="007D3502">
        <w:rPr>
          <w:rFonts w:ascii="Arial" w:hAnsi="Arial" w:cs="Arial"/>
          <w:sz w:val="28"/>
          <w:szCs w:val="28"/>
        </w:rPr>
        <w:t>assessing whether the sections of the Criminal Law Code were consistent with those provisions, and</w:t>
      </w:r>
    </w:p>
    <w:p w14:paraId="7F971CF5" w14:textId="77777777" w:rsidR="007D3502" w:rsidRPr="007D3502" w:rsidRDefault="007D3502" w:rsidP="007D3502">
      <w:pPr>
        <w:numPr>
          <w:ilvl w:val="1"/>
          <w:numId w:val="23"/>
        </w:numPr>
        <w:spacing w:after="60"/>
        <w:ind w:right="288"/>
        <w:jc w:val="both"/>
        <w:rPr>
          <w:rFonts w:ascii="Arial" w:hAnsi="Arial" w:cs="Arial"/>
          <w:sz w:val="28"/>
          <w:szCs w:val="28"/>
        </w:rPr>
      </w:pPr>
      <w:r w:rsidRPr="007D3502">
        <w:rPr>
          <w:rFonts w:ascii="Arial" w:hAnsi="Arial" w:cs="Arial"/>
          <w:sz w:val="28"/>
          <w:szCs w:val="28"/>
        </w:rPr>
        <w:t xml:space="preserve">if the sections were found to be inconsistent with the Constitution, deciding whether the inconsistency was permissible under section 86(2) of the Constitution, which allows a law to limit constitutional rights so long as the limitation is fair, reasonable, </w:t>
      </w:r>
      <w:proofErr w:type="gramStart"/>
      <w:r w:rsidRPr="007D3502">
        <w:rPr>
          <w:rFonts w:ascii="Arial" w:hAnsi="Arial" w:cs="Arial"/>
          <w:sz w:val="28"/>
          <w:szCs w:val="28"/>
        </w:rPr>
        <w:t>necessary</w:t>
      </w:r>
      <w:proofErr w:type="gramEnd"/>
      <w:r w:rsidRPr="007D3502">
        <w:rPr>
          <w:rFonts w:ascii="Arial" w:hAnsi="Arial" w:cs="Arial"/>
          <w:sz w:val="28"/>
          <w:szCs w:val="28"/>
        </w:rPr>
        <w:t xml:space="preserve"> and justifiable in a democratic society.</w:t>
      </w:r>
    </w:p>
    <w:p w14:paraId="633EF2A4" w14:textId="77777777" w:rsidR="007D3502" w:rsidRPr="007D3502" w:rsidRDefault="007D3502" w:rsidP="007D3502">
      <w:pPr>
        <w:tabs>
          <w:tab w:val="num" w:pos="360"/>
        </w:tabs>
        <w:spacing w:after="60"/>
        <w:ind w:left="360" w:hanging="360"/>
        <w:jc w:val="both"/>
        <w:rPr>
          <w:rFonts w:ascii="Arial" w:hAnsi="Arial" w:cs="Arial"/>
          <w:color w:val="000000"/>
          <w:sz w:val="28"/>
          <w:szCs w:val="28"/>
        </w:rPr>
      </w:pPr>
      <w:r w:rsidRPr="007D3502">
        <w:rPr>
          <w:rFonts w:ascii="Arial" w:hAnsi="Arial" w:cs="Arial"/>
          <w:sz w:val="28"/>
          <w:szCs w:val="28"/>
        </w:rPr>
        <w:t xml:space="preserve">Section 81(1) of the Constitution defines a child as a boy or girl under the age of 18 </w:t>
      </w:r>
      <w:proofErr w:type="gramStart"/>
      <w:r w:rsidRPr="007D3502">
        <w:rPr>
          <w:rFonts w:ascii="Arial" w:hAnsi="Arial" w:cs="Arial"/>
          <w:sz w:val="28"/>
          <w:szCs w:val="28"/>
        </w:rPr>
        <w:t>years;  that</w:t>
      </w:r>
      <w:proofErr w:type="gramEnd"/>
      <w:r w:rsidRPr="007D3502">
        <w:rPr>
          <w:rFonts w:ascii="Arial" w:hAnsi="Arial" w:cs="Arial"/>
          <w:sz w:val="28"/>
          <w:szCs w:val="28"/>
        </w:rPr>
        <w:t xml:space="preserve"> is unambiguous and settles the definition of a child for any other law, practice or custom in </w:t>
      </w:r>
      <w:r w:rsidRPr="007D3502">
        <w:rPr>
          <w:rFonts w:ascii="Arial" w:hAnsi="Arial" w:cs="Arial"/>
          <w:sz w:val="28"/>
          <w:szCs w:val="28"/>
          <w:lang w:val="en-ZA"/>
        </w:rPr>
        <w:t>Zimbabwe</w:t>
      </w:r>
      <w:r w:rsidRPr="007D3502">
        <w:rPr>
          <w:rFonts w:ascii="Arial" w:hAnsi="Arial" w:cs="Arial"/>
          <w:color w:val="000000"/>
          <w:sz w:val="28"/>
          <w:szCs w:val="28"/>
        </w:rPr>
        <w:t>.  Any law, practice or custom that defines “child” differently is inconsistent with the Constitution.</w:t>
      </w:r>
    </w:p>
    <w:p w14:paraId="00EF5F5D"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 xml:space="preserve">The same section of the Constitution (section 81(1)) declares that all children – all persons under the age of 18 - have the right to be protected against sexual exploitation, </w:t>
      </w:r>
      <w:proofErr w:type="gramStart"/>
      <w:r w:rsidRPr="007D3502">
        <w:rPr>
          <w:rFonts w:ascii="Arial" w:hAnsi="Arial" w:cs="Arial"/>
          <w:sz w:val="28"/>
          <w:szCs w:val="28"/>
        </w:rPr>
        <w:t>i.e.</w:t>
      </w:r>
      <w:proofErr w:type="gramEnd"/>
      <w:r w:rsidRPr="007D3502">
        <w:rPr>
          <w:rFonts w:ascii="Arial" w:hAnsi="Arial" w:cs="Arial"/>
          <w:sz w:val="28"/>
          <w:szCs w:val="28"/>
        </w:rPr>
        <w:t xml:space="preserve"> having advantage being taken of their consent to sexual conduct.</w:t>
      </w:r>
    </w:p>
    <w:p w14:paraId="7A2A27D5"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The conduct prohibited by the sections of the Criminal Law Code outlined above are examples of conduct that amounts to sexual exploitation of children and from which children should be protected.  There are no other statutory provisions that afford children this protection.</w:t>
      </w:r>
    </w:p>
    <w:p w14:paraId="3E47074C"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The sections protect some children, but not all, from sexual exploitation.  The children who have been left out are not afforded any protection from being sexually exploited.  Hence the sections are inconsistent with the Constitution and infringe the rights of the children who have been left out of the protective ambit of the law.</w:t>
      </w:r>
    </w:p>
    <w:p w14:paraId="45EFC9CC"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Furthermore, by prohibiting only extra-marital sex, and implicitly allowing marital sex with children, the sections also fail to protect children in child marriages, whatever their age.</w:t>
      </w:r>
    </w:p>
    <w:p w14:paraId="1B1D7320"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All children must be protected from sexual exploitation, even though the levels of protection may decrease with age to recognise the growing maturity of the child.  The sections of the Code do not offer any protection whatever to children between 16 and 18, even in an attenuated form.</w:t>
      </w:r>
    </w:p>
    <w:p w14:paraId="53D64833"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The failure to protect children between 16 and 18 cannot be justified under section 86(2) of the Constitution.  Where the infringement of a fundamental right is a complete negation of the right, as in this case, there hardly exists any scope for arguing that the complete negation of the right is a justifiable limitation under section 86(2).</w:t>
      </w:r>
    </w:p>
    <w:p w14:paraId="5E9CA17F" w14:textId="77777777" w:rsidR="007D3502" w:rsidRPr="007D3502" w:rsidRDefault="007D3502" w:rsidP="007D3502">
      <w:pPr>
        <w:tabs>
          <w:tab w:val="num" w:pos="360"/>
        </w:tabs>
        <w:spacing w:after="60"/>
        <w:ind w:left="360" w:hanging="360"/>
        <w:jc w:val="both"/>
        <w:rPr>
          <w:rFonts w:ascii="Arial" w:hAnsi="Arial" w:cs="Arial"/>
          <w:sz w:val="28"/>
          <w:szCs w:val="28"/>
        </w:rPr>
      </w:pPr>
      <w:r w:rsidRPr="007D3502">
        <w:rPr>
          <w:rFonts w:ascii="Arial" w:hAnsi="Arial" w:cs="Arial"/>
          <w:sz w:val="28"/>
          <w:szCs w:val="28"/>
        </w:rPr>
        <w:t>While raising the age of consent will have a legal impact on sexual relations between children, that cannot derogate from the need to protect all children from sexual exploitation in obedience to section 81 of the Constitution.</w:t>
      </w:r>
    </w:p>
    <w:p w14:paraId="39EC5E3A" w14:textId="77777777" w:rsidR="007D3502" w:rsidRPr="007D3502" w:rsidRDefault="007D3502" w:rsidP="007D3502">
      <w:pPr>
        <w:tabs>
          <w:tab w:val="num" w:pos="360"/>
        </w:tabs>
        <w:spacing w:after="120"/>
        <w:ind w:left="357" w:hanging="357"/>
        <w:jc w:val="both"/>
        <w:rPr>
          <w:rFonts w:ascii="Arial" w:hAnsi="Arial" w:cs="Arial"/>
          <w:sz w:val="28"/>
          <w:szCs w:val="28"/>
        </w:rPr>
      </w:pPr>
      <w:r w:rsidRPr="007D3502">
        <w:rPr>
          <w:rFonts w:ascii="Arial" w:hAnsi="Arial" w:cs="Arial"/>
          <w:sz w:val="28"/>
          <w:szCs w:val="28"/>
        </w:rPr>
        <w:t>Health care providers must be empowered by the law to provide sexual and reproductive health services to children in need of such services without regarding the children as too young to need them.  Whilst it is highly desirable for children to stay away from sex until they are adults, in practice they often don’t do so, and children who have sexual relations have a right to health care services despite their youthfulness.</w:t>
      </w:r>
    </w:p>
    <w:p w14:paraId="3BE7AFC9" w14:textId="77777777" w:rsidR="007D3502" w:rsidRPr="007D3502" w:rsidRDefault="007D3502" w:rsidP="007D3502">
      <w:pPr>
        <w:spacing w:before="120" w:after="60"/>
        <w:ind w:left="0" w:firstLine="0"/>
        <w:rPr>
          <w:rFonts w:ascii="Arial" w:hAnsi="Arial" w:cs="Arial"/>
          <w:b/>
          <w:bCs/>
          <w:sz w:val="28"/>
          <w:szCs w:val="28"/>
        </w:rPr>
      </w:pPr>
      <w:r w:rsidRPr="007D3502">
        <w:rPr>
          <w:rFonts w:ascii="Arial" w:hAnsi="Arial" w:cs="Arial"/>
          <w:b/>
          <w:bCs/>
          <w:sz w:val="28"/>
          <w:szCs w:val="28"/>
        </w:rPr>
        <w:t>The Court’s order</w:t>
      </w:r>
    </w:p>
    <w:p w14:paraId="424F8E42" w14:textId="77777777" w:rsidR="007D3502" w:rsidRPr="007D3502" w:rsidRDefault="007D3502" w:rsidP="007D3502">
      <w:pPr>
        <w:spacing w:after="120"/>
        <w:ind w:left="0" w:firstLine="0"/>
        <w:jc w:val="both"/>
        <w:rPr>
          <w:rFonts w:ascii="Arial" w:hAnsi="Arial" w:cs="Arial"/>
          <w:sz w:val="28"/>
          <w:szCs w:val="28"/>
          <w:lang w:val="en-ZW"/>
        </w:rPr>
      </w:pPr>
      <w:r w:rsidRPr="007D3502">
        <w:rPr>
          <w:rFonts w:ascii="Arial" w:hAnsi="Arial" w:cs="Arial"/>
          <w:sz w:val="28"/>
          <w:szCs w:val="28"/>
          <w:lang w:val="en-ZW"/>
        </w:rPr>
        <w:t xml:space="preserve">As a result, the Court declared sections 70, 76, 83 and 86 of the Criminal Law Code to be unconstitutional and ordered them set aside.  The Court however suspended its order to give the Government time to enact a law that protects all children from sexual exploitation.  It did not however suspend its order in relation to the provisions in the sections that permit marital sex, </w:t>
      </w:r>
      <w:proofErr w:type="gramStart"/>
      <w:r w:rsidRPr="007D3502">
        <w:rPr>
          <w:rFonts w:ascii="Arial" w:hAnsi="Arial" w:cs="Arial"/>
          <w:sz w:val="28"/>
          <w:szCs w:val="28"/>
          <w:lang w:val="en-ZW"/>
        </w:rPr>
        <w:t>i.e.</w:t>
      </w:r>
      <w:proofErr w:type="gramEnd"/>
      <w:r w:rsidRPr="007D3502">
        <w:rPr>
          <w:rFonts w:ascii="Arial" w:hAnsi="Arial" w:cs="Arial"/>
          <w:sz w:val="28"/>
          <w:szCs w:val="28"/>
          <w:lang w:val="en-ZW"/>
        </w:rPr>
        <w:t xml:space="preserve"> sexual relations with children in child marriages.  Those provisions, the court held, were unconscionable and had to be struck down immediately.</w:t>
      </w:r>
    </w:p>
    <w:p w14:paraId="01114476" w14:textId="77777777" w:rsidR="007D3502" w:rsidRPr="007D3502" w:rsidRDefault="007D3502" w:rsidP="007D3502">
      <w:pPr>
        <w:spacing w:before="120" w:after="60"/>
        <w:ind w:left="0" w:firstLine="0"/>
        <w:rPr>
          <w:rFonts w:ascii="Arial" w:hAnsi="Arial" w:cs="Arial"/>
          <w:b/>
          <w:bCs/>
          <w:sz w:val="28"/>
          <w:szCs w:val="28"/>
        </w:rPr>
      </w:pPr>
      <w:r w:rsidRPr="007D3502">
        <w:rPr>
          <w:rFonts w:ascii="Arial" w:hAnsi="Arial" w:cs="Arial"/>
          <w:b/>
          <w:bCs/>
          <w:sz w:val="28"/>
          <w:szCs w:val="28"/>
        </w:rPr>
        <w:t>Effect of the Court’s order</w:t>
      </w:r>
    </w:p>
    <w:p w14:paraId="0E7C051D" w14:textId="77777777" w:rsidR="007D3502" w:rsidRPr="007D3502" w:rsidRDefault="007D3502" w:rsidP="007D3502">
      <w:pPr>
        <w:spacing w:after="60"/>
        <w:ind w:left="0" w:firstLine="0"/>
        <w:jc w:val="both"/>
        <w:rPr>
          <w:rFonts w:ascii="Arial" w:hAnsi="Arial" w:cs="Arial"/>
          <w:sz w:val="28"/>
          <w:szCs w:val="28"/>
        </w:rPr>
      </w:pPr>
      <w:r w:rsidRPr="007D3502">
        <w:rPr>
          <w:rFonts w:ascii="Arial" w:hAnsi="Arial" w:cs="Arial"/>
          <w:sz w:val="28"/>
          <w:szCs w:val="28"/>
        </w:rPr>
        <w:t>It is not quite true to say that the Court has raised the age of consent to 18.  Apart from the fact that the Court’s order will not take effect for another 12 months, the Court did not say that children between the ages of 16 and 18 may never consent to sexual intercourse.  The effect of the Court’s judgment is that such children may be allowed to give consent so long as the circumstances do not amount to sexual exploitation.</w:t>
      </w:r>
    </w:p>
    <w:p w14:paraId="46DCDD63" w14:textId="77777777" w:rsidR="007D3502" w:rsidRPr="007D3502" w:rsidRDefault="007D3502" w:rsidP="007D3502">
      <w:pPr>
        <w:spacing w:after="120"/>
        <w:ind w:left="0" w:firstLine="0"/>
        <w:jc w:val="both"/>
        <w:rPr>
          <w:rFonts w:ascii="Arial" w:hAnsi="Arial" w:cs="Arial"/>
          <w:sz w:val="28"/>
          <w:szCs w:val="28"/>
          <w:lang w:val="en-ZW"/>
        </w:rPr>
      </w:pPr>
      <w:r w:rsidRPr="007D3502">
        <w:rPr>
          <w:rFonts w:ascii="Arial" w:hAnsi="Arial" w:cs="Arial"/>
          <w:sz w:val="28"/>
          <w:szCs w:val="28"/>
          <w:lang w:val="en-ZW"/>
        </w:rPr>
        <w:t xml:space="preserve">Another important result of the judgment is to criminalise, immediately, sexual intercourse between spouses in child marriages.  The Marriages Act is not yet in </w:t>
      </w:r>
      <w:proofErr w:type="gramStart"/>
      <w:r w:rsidRPr="007D3502">
        <w:rPr>
          <w:rFonts w:ascii="Arial" w:hAnsi="Arial" w:cs="Arial"/>
          <w:sz w:val="28"/>
          <w:szCs w:val="28"/>
          <w:lang w:val="en-ZW"/>
        </w:rPr>
        <w:t>force</w:t>
      </w:r>
      <w:proofErr w:type="gramEnd"/>
      <w:r w:rsidRPr="007D3502">
        <w:rPr>
          <w:rFonts w:ascii="Arial" w:hAnsi="Arial" w:cs="Arial"/>
          <w:sz w:val="28"/>
          <w:szCs w:val="28"/>
          <w:lang w:val="en-ZW"/>
        </w:rPr>
        <w:t xml:space="preserve"> so child marriages have not been outlawed.  On the other hand, the effect of the judgment is that if the husband of a girl under the age of 18 has sexual intercourse with her, he will commit the crime of having sexual intercourse with a young person in contravention of section 70 of the Criminal Law Code.  That is the law now, so the Court has effectively abolished child marriages.</w:t>
      </w:r>
    </w:p>
    <w:p w14:paraId="2225F89E" w14:textId="77777777" w:rsidR="007D3502" w:rsidRPr="007D3502" w:rsidRDefault="007D3502" w:rsidP="007D3502">
      <w:pPr>
        <w:spacing w:before="120" w:after="60"/>
        <w:ind w:left="0" w:firstLine="0"/>
        <w:jc w:val="center"/>
        <w:rPr>
          <w:rFonts w:ascii="Arial" w:hAnsi="Arial" w:cs="Arial"/>
          <w:b/>
          <w:bCs/>
          <w:sz w:val="28"/>
          <w:szCs w:val="28"/>
          <w:u w:val="single"/>
          <w:lang w:val="en-ZW"/>
        </w:rPr>
      </w:pPr>
      <w:r w:rsidRPr="007D3502">
        <w:rPr>
          <w:rFonts w:ascii="Arial" w:hAnsi="Arial" w:cs="Arial"/>
          <w:b/>
          <w:bCs/>
          <w:sz w:val="28"/>
          <w:szCs w:val="28"/>
          <w:u w:val="single"/>
          <w:lang w:val="en-ZW"/>
        </w:rPr>
        <w:t>Conclusion</w:t>
      </w:r>
    </w:p>
    <w:p w14:paraId="25BF98DF" w14:textId="77777777" w:rsidR="007D3502" w:rsidRPr="007D3502" w:rsidRDefault="007D3502" w:rsidP="007D3502">
      <w:pPr>
        <w:spacing w:after="60"/>
        <w:ind w:left="0" w:firstLine="0"/>
        <w:jc w:val="both"/>
        <w:rPr>
          <w:rFonts w:ascii="Arial" w:hAnsi="Arial" w:cs="Arial"/>
          <w:sz w:val="28"/>
          <w:szCs w:val="28"/>
        </w:rPr>
      </w:pPr>
      <w:r w:rsidRPr="007D3502">
        <w:rPr>
          <w:rFonts w:ascii="Arial" w:hAnsi="Arial" w:cs="Arial"/>
          <w:sz w:val="28"/>
          <w:szCs w:val="28"/>
        </w:rPr>
        <w:t>The judgment is a progressive and far-reaching one which shows concern for the welfare of children and young persons and offers clear guidance on the direction that reform of the law should take.</w:t>
      </w:r>
    </w:p>
    <w:p w14:paraId="21BB8B66" w14:textId="425863D3" w:rsidR="00243E20" w:rsidRPr="007D3502" w:rsidRDefault="007D3502" w:rsidP="007D3502">
      <w:pPr>
        <w:widowControl w:val="0"/>
        <w:spacing w:after="60"/>
        <w:ind w:left="0" w:right="567" w:firstLine="0"/>
        <w:jc w:val="both"/>
        <w:rPr>
          <w:rFonts w:ascii="Arial" w:hAnsi="Arial" w:cs="Arial"/>
          <w:sz w:val="28"/>
          <w:szCs w:val="28"/>
        </w:rPr>
      </w:pPr>
      <w:r w:rsidRPr="007D3502">
        <w:rPr>
          <w:rFonts w:ascii="Arial" w:hAnsi="Arial" w:cs="Arial"/>
          <w:sz w:val="28"/>
          <w:szCs w:val="28"/>
        </w:rPr>
        <w:t>In due course Veritas will produce a model draft Bill giving effect to the judgment.</w:t>
      </w:r>
    </w:p>
    <w:p w14:paraId="2AF9D98A" w14:textId="17D52DE4" w:rsidR="00D72DD2" w:rsidRPr="00D72DD2" w:rsidRDefault="00D72DD2" w:rsidP="00D72DD2">
      <w:pPr>
        <w:spacing w:after="60"/>
        <w:ind w:left="0" w:firstLine="0"/>
        <w:jc w:val="both"/>
        <w:rPr>
          <w:rFonts w:ascii="Arial" w:hAnsi="Arial" w:cs="Arial"/>
          <w:sz w:val="28"/>
          <w:szCs w:val="28"/>
          <w:lang w:eastAsia="en-ZW"/>
        </w:rPr>
      </w:pPr>
    </w:p>
    <w:p w14:paraId="4E1B4F69" w14:textId="77777777" w:rsidR="00D72DD2" w:rsidRPr="00D72DD2" w:rsidRDefault="00D72DD2" w:rsidP="00D72DD2">
      <w:pPr>
        <w:spacing w:after="20"/>
        <w:ind w:left="0" w:firstLine="0"/>
        <w:jc w:val="center"/>
        <w:rPr>
          <w:rFonts w:cs="Calibri"/>
          <w:i/>
          <w:iCs/>
          <w:color w:val="1F497D"/>
          <w:sz w:val="18"/>
          <w:szCs w:val="18"/>
          <w:lang w:eastAsia="en-ZW"/>
        </w:rPr>
      </w:pPr>
      <w:r w:rsidRPr="00D72DD2">
        <w:rPr>
          <w:rFonts w:cs="Calibri"/>
          <w:i/>
          <w:iCs/>
          <w:color w:val="1F497D"/>
          <w:sz w:val="18"/>
          <w:szCs w:val="18"/>
          <w:lang w:eastAsia="en-ZW"/>
        </w:rPr>
        <w:t xml:space="preserve">Veritas makes every effort to ensure reliable </w:t>
      </w:r>
      <w:proofErr w:type="gramStart"/>
      <w:r w:rsidRPr="00D72DD2">
        <w:rPr>
          <w:rFonts w:cs="Calibri"/>
          <w:i/>
          <w:iCs/>
          <w:color w:val="1F497D"/>
          <w:sz w:val="18"/>
          <w:szCs w:val="18"/>
          <w:lang w:eastAsia="en-ZW"/>
        </w:rPr>
        <w:t>information, but</w:t>
      </w:r>
      <w:proofErr w:type="gramEnd"/>
      <w:r w:rsidRPr="00D72DD2">
        <w:rPr>
          <w:rFonts w:cs="Calibri"/>
          <w:i/>
          <w:iCs/>
          <w:color w:val="1F497D"/>
          <w:sz w:val="18"/>
          <w:szCs w:val="18"/>
          <w:lang w:eastAsia="en-ZW"/>
        </w:rPr>
        <w:t xml:space="preserve"> cannot take legal responsibility for information supplied.</w:t>
      </w:r>
    </w:p>
    <w:p w14:paraId="08C2458A" w14:textId="77777777" w:rsidR="00D72DD2" w:rsidRPr="00D72DD2" w:rsidRDefault="00D72DD2" w:rsidP="00D72DD2">
      <w:pPr>
        <w:spacing w:after="20"/>
        <w:ind w:left="0" w:firstLine="0"/>
        <w:jc w:val="center"/>
        <w:rPr>
          <w:rFonts w:cs="Calibri"/>
          <w:sz w:val="28"/>
          <w:szCs w:val="28"/>
          <w:lang w:eastAsia="en-ZW"/>
        </w:rPr>
      </w:pPr>
      <w:r w:rsidRPr="00D72DD2">
        <w:rPr>
          <w:rFonts w:cs="Calibri"/>
          <w:i/>
          <w:iCs/>
          <w:color w:val="1F497D"/>
          <w:sz w:val="18"/>
          <w:szCs w:val="18"/>
          <w:lang w:eastAsia="en-ZW"/>
        </w:rPr>
        <w:t xml:space="preserve">If you are looking for </w:t>
      </w:r>
      <w:proofErr w:type="gramStart"/>
      <w:r w:rsidRPr="00D72DD2">
        <w:rPr>
          <w:rFonts w:cs="Calibri"/>
          <w:i/>
          <w:iCs/>
          <w:color w:val="1F497D"/>
          <w:sz w:val="18"/>
          <w:szCs w:val="18"/>
          <w:lang w:eastAsia="en-ZW"/>
        </w:rPr>
        <w:t>legislation</w:t>
      </w:r>
      <w:proofErr w:type="gramEnd"/>
      <w:r w:rsidRPr="00D72DD2">
        <w:rPr>
          <w:rFonts w:cs="Calibri"/>
          <w:i/>
          <w:iCs/>
          <w:color w:val="1F497D"/>
          <w:sz w:val="18"/>
          <w:szCs w:val="18"/>
          <w:lang w:eastAsia="en-ZW"/>
        </w:rPr>
        <w:t xml:space="preserve"> please look for it on </w:t>
      </w:r>
      <w:hyperlink r:id="rId9" w:history="1">
        <w:r w:rsidRPr="00D72DD2">
          <w:rPr>
            <w:rFonts w:cs="Calibri"/>
            <w:i/>
            <w:iCs/>
            <w:color w:val="008000"/>
            <w:sz w:val="18"/>
            <w:szCs w:val="18"/>
            <w:u w:val="single"/>
            <w:lang w:eastAsia="en-ZW"/>
          </w:rPr>
          <w:t>www.veritaszim.net</w:t>
        </w:r>
      </w:hyperlink>
    </w:p>
    <w:p w14:paraId="1FF2832C" w14:textId="77777777" w:rsidR="00D72DD2" w:rsidRPr="00D72DD2" w:rsidRDefault="00D72DD2" w:rsidP="00D72DD2">
      <w:pPr>
        <w:spacing w:after="20"/>
        <w:ind w:left="0" w:firstLine="0"/>
        <w:jc w:val="center"/>
        <w:rPr>
          <w:rFonts w:cs="Calibri"/>
          <w:i/>
          <w:iCs/>
          <w:color w:val="1F497D"/>
          <w:sz w:val="18"/>
          <w:szCs w:val="18"/>
          <w:lang w:eastAsia="en-ZW"/>
        </w:rPr>
      </w:pPr>
      <w:r w:rsidRPr="00D72DD2">
        <w:rPr>
          <w:rFonts w:cs="Calibri"/>
          <w:i/>
          <w:iCs/>
          <w:color w:val="1F497D"/>
          <w:sz w:val="18"/>
          <w:szCs w:val="18"/>
          <w:lang w:eastAsia="en-ZW"/>
        </w:rPr>
        <w:t>To subscribe or unsubscribe from this mailing list or contact Veritas please email</w:t>
      </w:r>
      <w:r w:rsidRPr="00D72DD2">
        <w:rPr>
          <w:rFonts w:cs="Calibri"/>
          <w:i/>
          <w:iCs/>
          <w:color w:val="000080"/>
          <w:sz w:val="18"/>
          <w:szCs w:val="18"/>
          <w:lang w:eastAsia="en-ZW"/>
        </w:rPr>
        <w:t xml:space="preserve"> </w:t>
      </w:r>
      <w:hyperlink r:id="rId10" w:history="1">
        <w:r w:rsidRPr="00D72DD2">
          <w:rPr>
            <w:rFonts w:cs="Calibri"/>
            <w:i/>
            <w:iCs/>
            <w:color w:val="008000"/>
            <w:sz w:val="18"/>
            <w:szCs w:val="18"/>
            <w:u w:val="single"/>
            <w:lang w:eastAsia="en-ZW"/>
          </w:rPr>
          <w:t>veritas@mango.zw</w:t>
        </w:r>
      </w:hyperlink>
    </w:p>
    <w:p w14:paraId="359EDFC3" w14:textId="77777777" w:rsidR="00D72DD2" w:rsidRPr="00D72DD2" w:rsidRDefault="00D72DD2" w:rsidP="00D72DD2">
      <w:pPr>
        <w:spacing w:after="120"/>
        <w:ind w:left="0" w:firstLine="0"/>
        <w:jc w:val="center"/>
        <w:rPr>
          <w:rFonts w:cs="Calibri"/>
          <w:color w:val="1F497D"/>
          <w:sz w:val="8"/>
          <w:szCs w:val="8"/>
          <w:lang w:eastAsia="en-ZW"/>
        </w:rPr>
      </w:pPr>
      <w:r w:rsidRPr="00D72DD2">
        <w:rPr>
          <w:rFonts w:cs="Calibri"/>
          <w:color w:val="1F497D"/>
          <w:sz w:val="18"/>
          <w:szCs w:val="18"/>
          <w:lang w:eastAsia="en-ZW"/>
        </w:rPr>
        <w:t>Follow us on</w:t>
      </w:r>
      <w:r w:rsidRPr="00D72DD2">
        <w:rPr>
          <w:rFonts w:cs="Calibri"/>
          <w:color w:val="000080"/>
          <w:sz w:val="18"/>
          <w:szCs w:val="18"/>
          <w:lang w:eastAsia="en-ZW"/>
        </w:rPr>
        <w:t xml:space="preserve"> </w:t>
      </w:r>
      <w:r w:rsidRPr="00D72DD2">
        <w:rPr>
          <w:rFonts w:cs="Calibri"/>
          <w:noProof/>
          <w:color w:val="1F497D"/>
          <w:lang w:val="en-ZW" w:eastAsia="en-ZW"/>
        </w:rPr>
        <w:drawing>
          <wp:inline distT="0" distB="0" distL="0" distR="0" wp14:anchorId="7F4A61BF" wp14:editId="6394DB9D">
            <wp:extent cx="257175" cy="257175"/>
            <wp:effectExtent l="0" t="0" r="9525" b="9525"/>
            <wp:docPr id="11" name="Picture 11" descr="cid:image001.jpg@01D4CF71.A17C9EE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CF71.A17C9E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72DD2">
        <w:rPr>
          <w:rFonts w:cs="Calibri"/>
          <w:color w:val="1F497D"/>
          <w:lang w:eastAsia="en-ZW"/>
        </w:rPr>
        <w:t> </w:t>
      </w:r>
      <w:r w:rsidRPr="00D72DD2">
        <w:rPr>
          <w:rFonts w:cs="Calibri"/>
          <w:noProof/>
          <w:lang w:val="en-ZW" w:eastAsia="en-ZW"/>
        </w:rPr>
        <w:drawing>
          <wp:inline distT="0" distB="0" distL="0" distR="0" wp14:anchorId="60BA005B" wp14:editId="5AAC9998">
            <wp:extent cx="295275" cy="257175"/>
            <wp:effectExtent l="0" t="0" r="9525" b="9525"/>
            <wp:docPr id="12" name="Picture 12" descr="cid:image002.png@01D4CF71.A17C9EE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4CF71.A17C9E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D72DD2">
        <w:rPr>
          <w:rFonts w:cs="Calibri"/>
          <w:color w:val="1F497D"/>
          <w:lang w:eastAsia="en-ZW"/>
        </w:rPr>
        <w:t> </w:t>
      </w:r>
      <w:r w:rsidRPr="00D72DD2">
        <w:rPr>
          <w:rFonts w:cs="Calibri"/>
          <w:noProof/>
          <w:color w:val="1F497D"/>
          <w:lang w:val="en-ZW" w:eastAsia="en-ZW"/>
        </w:rPr>
        <w:drawing>
          <wp:inline distT="0" distB="0" distL="0" distR="0" wp14:anchorId="2A8D43B2" wp14:editId="086AD796">
            <wp:extent cx="257175" cy="266700"/>
            <wp:effectExtent l="0" t="0" r="9525" b="0"/>
            <wp:docPr id="13" name="Picture 13" descr="cid:image003.png@01D4CF71.A17C9EE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4CF71.A17C9E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D72DD2">
        <w:rPr>
          <w:rFonts w:cs="Calibri"/>
          <w:color w:val="1F497D"/>
          <w:lang w:eastAsia="en-ZW"/>
        </w:rPr>
        <w:t> </w:t>
      </w:r>
      <w:r w:rsidRPr="00D72DD2">
        <w:rPr>
          <w:rFonts w:cs="Calibri"/>
          <w:noProof/>
          <w:lang w:val="en-ZW" w:eastAsia="en-ZW"/>
        </w:rPr>
        <w:drawing>
          <wp:inline distT="0" distB="0" distL="0" distR="0" wp14:anchorId="05DD59C1" wp14:editId="17C906CD">
            <wp:extent cx="304800" cy="304800"/>
            <wp:effectExtent l="0" t="0" r="0" b="0"/>
            <wp:docPr id="14" name="Picture 14" descr="cid:image004.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4.png@01D4CF71.A17C9E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72DD2">
        <w:rPr>
          <w:rFonts w:cs="Calibri"/>
          <w:color w:val="1F497D"/>
          <w:sz w:val="18"/>
          <w:szCs w:val="18"/>
          <w:lang w:eastAsia="en-ZW"/>
        </w:rPr>
        <w:t>(+263 71 893 3633)</w:t>
      </w:r>
    </w:p>
    <w:p w14:paraId="2AFB1F32" w14:textId="77777777" w:rsidR="00D72DD2" w:rsidRPr="00D72DD2" w:rsidRDefault="00D72DD2" w:rsidP="00D72DD2">
      <w:pPr>
        <w:spacing w:after="20"/>
        <w:ind w:left="0" w:firstLine="0"/>
        <w:jc w:val="center"/>
        <w:rPr>
          <w:rFonts w:cs="Calibri"/>
          <w:color w:val="1F497D"/>
          <w:sz w:val="28"/>
          <w:szCs w:val="28"/>
          <w:lang w:eastAsia="en-ZW"/>
        </w:rPr>
      </w:pPr>
      <w:r w:rsidRPr="00D72DD2">
        <w:rPr>
          <w:rFonts w:cs="Calibri"/>
          <w:noProof/>
          <w:lang w:val="en-ZW" w:eastAsia="en-ZW"/>
        </w:rPr>
        <w:drawing>
          <wp:inline distT="0" distB="0" distL="0" distR="0" wp14:anchorId="1616971B" wp14:editId="7BAF95DC">
            <wp:extent cx="685800" cy="238125"/>
            <wp:effectExtent l="0" t="0" r="0" b="9525"/>
            <wp:docPr id="15" name="Picture 15" descr="cid:image005.png@01D4CF71.A17C9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png@01D4CF71.A17C9EE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7EE89574" w14:textId="77777777" w:rsidR="00D72DD2" w:rsidRPr="00D72DD2" w:rsidRDefault="00D72DD2" w:rsidP="00D72DD2">
      <w:pPr>
        <w:spacing w:after="20"/>
        <w:ind w:left="0" w:firstLine="0"/>
        <w:jc w:val="center"/>
        <w:rPr>
          <w:rFonts w:cs="Calibri"/>
          <w:sz w:val="24"/>
          <w:szCs w:val="24"/>
          <w:lang w:eastAsia="en-ZW"/>
        </w:rPr>
      </w:pPr>
      <w:r w:rsidRPr="00D72DD2">
        <w:rPr>
          <w:rFonts w:cs="Calibri"/>
          <w:i/>
          <w:iCs/>
          <w:color w:val="1F497D"/>
          <w:sz w:val="18"/>
          <w:szCs w:val="18"/>
          <w:lang w:eastAsia="en-ZW"/>
        </w:rPr>
        <w:t xml:space="preserve">This work is licensed under a </w:t>
      </w:r>
      <w:hyperlink r:id="rId24" w:history="1">
        <w:r w:rsidRPr="00D72DD2">
          <w:rPr>
            <w:rFonts w:cs="Calibri"/>
            <w:i/>
            <w:iCs/>
            <w:color w:val="008000"/>
            <w:sz w:val="18"/>
            <w:szCs w:val="18"/>
            <w:u w:val="single"/>
            <w:lang w:eastAsia="en-ZW"/>
          </w:rPr>
          <w:t>Creative Commons Attribution-</w:t>
        </w:r>
        <w:proofErr w:type="spellStart"/>
        <w:r w:rsidRPr="00D72DD2">
          <w:rPr>
            <w:rFonts w:cs="Calibri"/>
            <w:i/>
            <w:iCs/>
            <w:color w:val="008000"/>
            <w:sz w:val="18"/>
            <w:szCs w:val="18"/>
            <w:u w:val="single"/>
            <w:lang w:eastAsia="en-ZW"/>
          </w:rPr>
          <w:t>NonCommercial</w:t>
        </w:r>
        <w:proofErr w:type="spellEnd"/>
        <w:r w:rsidRPr="00D72DD2">
          <w:rPr>
            <w:rFonts w:cs="Calibri"/>
            <w:i/>
            <w:iCs/>
            <w:color w:val="008000"/>
            <w:sz w:val="18"/>
            <w:szCs w:val="18"/>
            <w:u w:val="single"/>
            <w:lang w:eastAsia="en-ZW"/>
          </w:rPr>
          <w:t>-</w:t>
        </w:r>
        <w:proofErr w:type="spellStart"/>
        <w:r w:rsidRPr="00D72DD2">
          <w:rPr>
            <w:rFonts w:cs="Calibri"/>
            <w:i/>
            <w:iCs/>
            <w:color w:val="008000"/>
            <w:sz w:val="18"/>
            <w:szCs w:val="18"/>
            <w:u w:val="single"/>
            <w:lang w:eastAsia="en-ZW"/>
          </w:rPr>
          <w:t>ShareAlike</w:t>
        </w:r>
        <w:proofErr w:type="spellEnd"/>
        <w:r w:rsidRPr="00D72DD2">
          <w:rPr>
            <w:rFonts w:cs="Calibri"/>
            <w:i/>
            <w:iCs/>
            <w:color w:val="008000"/>
            <w:sz w:val="18"/>
            <w:szCs w:val="18"/>
            <w:u w:val="single"/>
            <w:lang w:eastAsia="en-ZW"/>
          </w:rPr>
          <w:t xml:space="preserve"> 4.0 International License</w:t>
        </w:r>
      </w:hyperlink>
      <w:r w:rsidRPr="00D72DD2">
        <w:rPr>
          <w:rFonts w:cs="Calibri"/>
          <w:i/>
          <w:iCs/>
          <w:color w:val="008000"/>
          <w:sz w:val="18"/>
          <w:szCs w:val="18"/>
          <w:u w:val="single"/>
          <w:lang w:eastAsia="en-ZW"/>
        </w:rPr>
        <w:t>.</w:t>
      </w:r>
      <w:r w:rsidRPr="00D72DD2">
        <w:rPr>
          <w:rFonts w:cs="Calibri"/>
          <w:sz w:val="24"/>
          <w:szCs w:val="24"/>
          <w:lang w:eastAsia="en-ZW"/>
        </w:rPr>
        <w:t xml:space="preserve"> </w:t>
      </w:r>
    </w:p>
    <w:p w14:paraId="3BBA909B" w14:textId="77777777" w:rsidR="00E72EAF" w:rsidRPr="00D72DD2" w:rsidRDefault="00E72EAF" w:rsidP="00D72DD2"/>
    <w:sectPr w:rsidR="00E72EAF" w:rsidRPr="00D72DD2" w:rsidSect="00637D66">
      <w:headerReference w:type="default" r:id="rId25"/>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C02" w14:textId="77777777" w:rsidR="004677A5" w:rsidRDefault="004677A5" w:rsidP="00726D9A">
      <w:r>
        <w:separator/>
      </w:r>
    </w:p>
  </w:endnote>
  <w:endnote w:type="continuationSeparator" w:id="0">
    <w:p w14:paraId="1EFC5A49" w14:textId="77777777" w:rsidR="004677A5" w:rsidRDefault="004677A5"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Mo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04FC" w14:textId="77777777" w:rsidR="004677A5" w:rsidRDefault="004677A5" w:rsidP="00726D9A">
      <w:r>
        <w:separator/>
      </w:r>
    </w:p>
  </w:footnote>
  <w:footnote w:type="continuationSeparator" w:id="0">
    <w:p w14:paraId="7976DDF2" w14:textId="77777777" w:rsidR="004677A5" w:rsidRDefault="004677A5" w:rsidP="0072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621A" w14:textId="0D4E5849" w:rsidR="008B6C73" w:rsidRDefault="00146B88" w:rsidP="000510E2">
    <w:pPr>
      <w:pStyle w:val="Header"/>
      <w:pBdr>
        <w:bottom w:val="single" w:sz="4" w:space="1" w:color="auto"/>
      </w:pBdr>
      <w:tabs>
        <w:tab w:val="clear" w:pos="4513"/>
        <w:tab w:val="clear" w:pos="9026"/>
        <w:tab w:val="center" w:pos="4678"/>
        <w:tab w:val="right" w:pos="9356"/>
      </w:tabs>
      <w:ind w:left="0" w:firstLine="0"/>
    </w:pPr>
    <w:r>
      <w:t>Court</w:t>
    </w:r>
    <w:r w:rsidR="00BE01F0">
      <w:t xml:space="preserve"> Watch</w:t>
    </w:r>
    <w:r w:rsidR="00593752">
      <w:t xml:space="preserve"> </w:t>
    </w:r>
    <w:r w:rsidR="00561BEF">
      <w:t>1/</w:t>
    </w:r>
    <w:r w:rsidR="00097E43">
      <w:t>20</w:t>
    </w:r>
    <w:r w:rsidR="00D72DD2">
      <w:t>2</w:t>
    </w:r>
    <w:r w:rsidR="00753394">
      <w:t>2</w:t>
    </w:r>
    <w:r w:rsidR="009810DE">
      <w:tab/>
    </w:r>
    <w:r w:rsidR="00753394" w:rsidRPr="00753394">
      <w:t>CJ's State</w:t>
    </w:r>
    <w:r w:rsidR="00417B28">
      <w:tab/>
    </w:r>
    <w:r w:rsidR="00753394">
      <w:t>13</w:t>
    </w:r>
    <w:r w:rsidR="000510E2">
      <w:t xml:space="preserve"> </w:t>
    </w:r>
    <w:r w:rsidR="00D72DD2">
      <w:t>January</w:t>
    </w:r>
    <w:r w:rsidR="008B6C73">
      <w:t xml:space="preserve"> </w:t>
    </w:r>
    <w:r w:rsidR="00080502">
      <w:t>20</w:t>
    </w:r>
    <w:r w:rsidR="00D72DD2">
      <w:t>20</w:t>
    </w:r>
  </w:p>
  <w:p w14:paraId="64D34F7B" w14:textId="585C5D12" w:rsidR="00243E20" w:rsidRDefault="00753394" w:rsidP="00243E20">
    <w:pPr>
      <w:pStyle w:val="Header"/>
      <w:pBdr>
        <w:bottom w:val="single" w:sz="4" w:space="1" w:color="auto"/>
      </w:pBdr>
      <w:tabs>
        <w:tab w:val="clear" w:pos="4513"/>
        <w:tab w:val="clear" w:pos="9026"/>
        <w:tab w:val="center" w:pos="4678"/>
        <w:tab w:val="right" w:pos="9356"/>
      </w:tabs>
      <w:ind w:left="0" w:firstLine="0"/>
      <w:jc w:val="center"/>
    </w:pPr>
    <w:r w:rsidRPr="00753394">
      <w:t>of the Judiciary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CF4"/>
    <w:multiLevelType w:val="hybridMultilevel"/>
    <w:tmpl w:val="F68E6AA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370061"/>
    <w:multiLevelType w:val="hybridMultilevel"/>
    <w:tmpl w:val="910AAB68"/>
    <w:lvl w:ilvl="0" w:tplc="3009000F">
      <w:start w:val="1"/>
      <w:numFmt w:val="decimal"/>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2" w15:restartNumberingAfterBreak="0">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15:restartNumberingAfterBreak="0">
    <w:nsid w:val="24C71E1E"/>
    <w:multiLevelType w:val="hybridMultilevel"/>
    <w:tmpl w:val="52C0E7C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4" w15:restartNumberingAfterBreak="0">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15:restartNumberingAfterBreak="0">
    <w:nsid w:val="2C2A08F9"/>
    <w:multiLevelType w:val="hybridMultilevel"/>
    <w:tmpl w:val="ADCC05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C5FC8"/>
    <w:multiLevelType w:val="hybridMultilevel"/>
    <w:tmpl w:val="6C72E748"/>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7" w15:restartNumberingAfterBreak="0">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8" w15:restartNumberingAfterBreak="0">
    <w:nsid w:val="336B4A60"/>
    <w:multiLevelType w:val="hybridMultilevel"/>
    <w:tmpl w:val="060418E8"/>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9" w15:restartNumberingAfterBreak="0">
    <w:nsid w:val="3C57085C"/>
    <w:multiLevelType w:val="hybridMultilevel"/>
    <w:tmpl w:val="B93E3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0320AD5"/>
    <w:multiLevelType w:val="hybridMultilevel"/>
    <w:tmpl w:val="9ED85BB0"/>
    <w:lvl w:ilvl="0" w:tplc="04090019">
      <w:start w:val="1"/>
      <w:numFmt w:val="lowerLetter"/>
      <w:lvlText w:val="%1."/>
      <w:lvlJc w:val="left"/>
      <w:pPr>
        <w:ind w:left="108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4199596F"/>
    <w:multiLevelType w:val="hybridMultilevel"/>
    <w:tmpl w:val="EE6EA254"/>
    <w:lvl w:ilvl="0" w:tplc="C4BC06BC">
      <w:start w:val="1"/>
      <w:numFmt w:val="bullet"/>
      <w:pStyle w:val="BillWatchBulleted"/>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B27061"/>
    <w:multiLevelType w:val="hybridMultilevel"/>
    <w:tmpl w:val="07F223BC"/>
    <w:lvl w:ilvl="0" w:tplc="0409001B">
      <w:start w:val="1"/>
      <w:numFmt w:val="lowerRoman"/>
      <w:lvlText w:val="%1."/>
      <w:lvlJc w:val="righ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4" w15:restartNumberingAfterBreak="0">
    <w:nsid w:val="5CA03213"/>
    <w:multiLevelType w:val="hybridMultilevel"/>
    <w:tmpl w:val="3A96DE96"/>
    <w:lvl w:ilvl="0" w:tplc="52F4E5C4">
      <w:numFmt w:val="bullet"/>
      <w:lvlText w:val=""/>
      <w:lvlJc w:val="left"/>
      <w:pPr>
        <w:ind w:left="734" w:hanging="450"/>
      </w:pPr>
      <w:rPr>
        <w:rFonts w:ascii="Symbol" w:eastAsia="Calibri" w:hAnsi="Symbol"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16" w15:restartNumberingAfterBreak="0">
    <w:nsid w:val="5F574CE6"/>
    <w:multiLevelType w:val="hybridMultilevel"/>
    <w:tmpl w:val="A06A9590"/>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7" w15:restartNumberingAfterBreak="0">
    <w:nsid w:val="60847E90"/>
    <w:multiLevelType w:val="hybridMultilevel"/>
    <w:tmpl w:val="DBE0A628"/>
    <w:lvl w:ilvl="0" w:tplc="52F4E5C4">
      <w:numFmt w:val="bullet"/>
      <w:lvlText w:val=""/>
      <w:lvlJc w:val="left"/>
      <w:pPr>
        <w:ind w:left="734" w:hanging="450"/>
      </w:pPr>
      <w:rPr>
        <w:rFonts w:ascii="Symbol" w:eastAsia="Calibri" w:hAnsi="Symbol"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58977DB"/>
    <w:multiLevelType w:val="hybridMultilevel"/>
    <w:tmpl w:val="C9AEAA50"/>
    <w:lvl w:ilvl="0" w:tplc="04090011">
      <w:start w:val="1"/>
      <w:numFmt w:val="decimal"/>
      <w:lvlText w:val="%1)"/>
      <w:lvlJc w:val="left"/>
      <w:pPr>
        <w:ind w:left="360" w:hanging="360"/>
      </w:pPr>
    </w:lvl>
    <w:lvl w:ilvl="1" w:tplc="79E02990">
      <w:start w:val="1"/>
      <w:numFmt w:val="lowerRoman"/>
      <w:lvlText w:val="%2."/>
      <w:lvlJc w:val="left"/>
      <w:pPr>
        <w:ind w:left="1440" w:hanging="720"/>
      </w:pPr>
    </w:lvl>
    <w:lvl w:ilvl="2" w:tplc="71983022">
      <w:start w:val="1"/>
      <w:numFmt w:val="lowerLetter"/>
      <w:lvlText w:val="%3."/>
      <w:lvlJc w:val="left"/>
      <w:pPr>
        <w:ind w:left="198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20" w15:restartNumberingAfterBreak="0">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1" w15:restartNumberingAfterBreak="0">
    <w:nsid w:val="790C1A45"/>
    <w:multiLevelType w:val="hybridMultilevel"/>
    <w:tmpl w:val="EAAA0F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107610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2741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7750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965297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2189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4349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7885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8477701">
    <w:abstractNumId w:val="2"/>
  </w:num>
  <w:num w:numId="9" w16cid:durableId="1508715675">
    <w:abstractNumId w:val="6"/>
  </w:num>
  <w:num w:numId="10" w16cid:durableId="1254624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077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842615">
    <w:abstractNumId w:val="3"/>
  </w:num>
  <w:num w:numId="13" w16cid:durableId="1506633020">
    <w:abstractNumId w:val="16"/>
  </w:num>
  <w:num w:numId="14" w16cid:durableId="1949383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07238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60090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66850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8433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994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55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05504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02812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754426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43"/>
    <w:rsid w:val="00013294"/>
    <w:rsid w:val="000510E2"/>
    <w:rsid w:val="00053424"/>
    <w:rsid w:val="00077A3A"/>
    <w:rsid w:val="00080502"/>
    <w:rsid w:val="00082307"/>
    <w:rsid w:val="00097E43"/>
    <w:rsid w:val="000F6D05"/>
    <w:rsid w:val="00115D0D"/>
    <w:rsid w:val="00126F87"/>
    <w:rsid w:val="00130330"/>
    <w:rsid w:val="00146B88"/>
    <w:rsid w:val="00152BDE"/>
    <w:rsid w:val="001533C5"/>
    <w:rsid w:val="001A7B74"/>
    <w:rsid w:val="002312BD"/>
    <w:rsid w:val="00243A2E"/>
    <w:rsid w:val="00243E20"/>
    <w:rsid w:val="00265580"/>
    <w:rsid w:val="002742E0"/>
    <w:rsid w:val="00334740"/>
    <w:rsid w:val="00337175"/>
    <w:rsid w:val="003C170A"/>
    <w:rsid w:val="003F11BC"/>
    <w:rsid w:val="003F3A4A"/>
    <w:rsid w:val="00417B28"/>
    <w:rsid w:val="0046520A"/>
    <w:rsid w:val="004677A5"/>
    <w:rsid w:val="0048738B"/>
    <w:rsid w:val="004B3C75"/>
    <w:rsid w:val="004C606F"/>
    <w:rsid w:val="004D5790"/>
    <w:rsid w:val="00501AA6"/>
    <w:rsid w:val="00502DFB"/>
    <w:rsid w:val="005236E7"/>
    <w:rsid w:val="00534F6E"/>
    <w:rsid w:val="005436EF"/>
    <w:rsid w:val="00545B74"/>
    <w:rsid w:val="00561BEF"/>
    <w:rsid w:val="00581041"/>
    <w:rsid w:val="00593752"/>
    <w:rsid w:val="005A5D8A"/>
    <w:rsid w:val="005A62D7"/>
    <w:rsid w:val="005E7280"/>
    <w:rsid w:val="00637D66"/>
    <w:rsid w:val="006D1345"/>
    <w:rsid w:val="006E78F0"/>
    <w:rsid w:val="00726D9A"/>
    <w:rsid w:val="00753394"/>
    <w:rsid w:val="00763173"/>
    <w:rsid w:val="007D3502"/>
    <w:rsid w:val="008043D7"/>
    <w:rsid w:val="00854420"/>
    <w:rsid w:val="008B1F0E"/>
    <w:rsid w:val="008B6C73"/>
    <w:rsid w:val="008C601F"/>
    <w:rsid w:val="008F2DAC"/>
    <w:rsid w:val="00903D60"/>
    <w:rsid w:val="0095554E"/>
    <w:rsid w:val="009810DE"/>
    <w:rsid w:val="009A2598"/>
    <w:rsid w:val="009A7B1C"/>
    <w:rsid w:val="009D344E"/>
    <w:rsid w:val="00AB0D7E"/>
    <w:rsid w:val="00AC513A"/>
    <w:rsid w:val="00AF529E"/>
    <w:rsid w:val="00B30FD8"/>
    <w:rsid w:val="00B46E07"/>
    <w:rsid w:val="00B51DED"/>
    <w:rsid w:val="00B563CD"/>
    <w:rsid w:val="00B77FA5"/>
    <w:rsid w:val="00BE01F0"/>
    <w:rsid w:val="00C01003"/>
    <w:rsid w:val="00C067D9"/>
    <w:rsid w:val="00C21665"/>
    <w:rsid w:val="00C65554"/>
    <w:rsid w:val="00C66DE8"/>
    <w:rsid w:val="00C95A2E"/>
    <w:rsid w:val="00C95F1B"/>
    <w:rsid w:val="00CA5B70"/>
    <w:rsid w:val="00CB1E9E"/>
    <w:rsid w:val="00CB6364"/>
    <w:rsid w:val="00D16533"/>
    <w:rsid w:val="00D37EC3"/>
    <w:rsid w:val="00D72DD2"/>
    <w:rsid w:val="00D7679E"/>
    <w:rsid w:val="00D90740"/>
    <w:rsid w:val="00DA4F2E"/>
    <w:rsid w:val="00DA6256"/>
    <w:rsid w:val="00DB57C0"/>
    <w:rsid w:val="00E72EAF"/>
    <w:rsid w:val="00E75E66"/>
    <w:rsid w:val="00E8795D"/>
    <w:rsid w:val="00F2383D"/>
    <w:rsid w:val="00F31545"/>
    <w:rsid w:val="00F439BB"/>
    <w:rsid w:val="00F7083A"/>
    <w:rsid w:val="00F84FCB"/>
    <w:rsid w:val="00FC0E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0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8A"/>
    <w:pPr>
      <w:ind w:left="1276" w:hanging="1276"/>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semiHidden/>
    <w:locked/>
    <w:rsid w:val="00E72EAF"/>
    <w:rPr>
      <w:rFonts w:ascii="Calibri" w:eastAsia="Calibri" w:hAnsi="Calibri"/>
      <w:sz w:val="24"/>
      <w:szCs w:val="24"/>
    </w:rPr>
  </w:style>
  <w:style w:type="paragraph" w:customStyle="1" w:styleId="section1">
    <w:name w:val="section1"/>
    <w:basedOn w:val="Normal"/>
    <w:link w:val="section1Char"/>
    <w:uiPriority w:val="99"/>
    <w:semiHidden/>
    <w:rsid w:val="00E72EAF"/>
    <w:pPr>
      <w:spacing w:before="100" w:beforeAutospacing="1" w:after="100" w:afterAutospacing="1"/>
      <w:ind w:left="0" w:firstLine="0"/>
    </w:pPr>
    <w:rPr>
      <w:sz w:val="24"/>
      <w:szCs w:val="24"/>
      <w:lang w:val="en-ZW"/>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paragraph" w:styleId="ListParagraph">
    <w:name w:val="List Paragraph"/>
    <w:basedOn w:val="Normal"/>
    <w:uiPriority w:val="34"/>
    <w:qFormat/>
    <w:rsid w:val="000510E2"/>
    <w:pPr>
      <w:ind w:left="720"/>
      <w:contextualSpacing/>
    </w:pPr>
  </w:style>
  <w:style w:type="paragraph" w:styleId="BalloonText">
    <w:name w:val="Balloon Text"/>
    <w:basedOn w:val="Normal"/>
    <w:link w:val="BalloonTextChar"/>
    <w:uiPriority w:val="99"/>
    <w:semiHidden/>
    <w:unhideWhenUsed/>
    <w:rsid w:val="00F43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BB"/>
    <w:rPr>
      <w:rFonts w:ascii="Segoe UI" w:hAnsi="Segoe UI" w:cs="Segoe UI"/>
      <w:sz w:val="18"/>
      <w:szCs w:val="18"/>
      <w:lang w:val="en-GB" w:eastAsia="en-US"/>
    </w:rPr>
  </w:style>
  <w:style w:type="paragraph" w:customStyle="1" w:styleId="BillWatchBulleted">
    <w:name w:val="Bill Watch Bulleted"/>
    <w:basedOn w:val="Normal"/>
    <w:uiPriority w:val="99"/>
    <w:rsid w:val="007D3502"/>
    <w:pPr>
      <w:numPr>
        <w:numId w:val="23"/>
      </w:numPr>
      <w:spacing w:after="60"/>
      <w:jc w:val="both"/>
    </w:pPr>
    <w:rPr>
      <w:rFonts w:ascii="Arial" w:hAnsi="Arial" w:cs="Arial"/>
      <w:color w:val="0000FF"/>
      <w:sz w:val="28"/>
      <w:szCs w:val="2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134">
      <w:bodyDiv w:val="1"/>
      <w:marLeft w:val="0"/>
      <w:marRight w:val="0"/>
      <w:marTop w:val="0"/>
      <w:marBottom w:val="0"/>
      <w:divBdr>
        <w:top w:val="none" w:sz="0" w:space="0" w:color="auto"/>
        <w:left w:val="none" w:sz="0" w:space="0" w:color="auto"/>
        <w:bottom w:val="none" w:sz="0" w:space="0" w:color="auto"/>
        <w:right w:val="none" w:sz="0" w:space="0" w:color="auto"/>
      </w:divBdr>
    </w:div>
    <w:div w:id="150606811">
      <w:bodyDiv w:val="1"/>
      <w:marLeft w:val="0"/>
      <w:marRight w:val="0"/>
      <w:marTop w:val="0"/>
      <w:marBottom w:val="0"/>
      <w:divBdr>
        <w:top w:val="none" w:sz="0" w:space="0" w:color="auto"/>
        <w:left w:val="none" w:sz="0" w:space="0" w:color="auto"/>
        <w:bottom w:val="none" w:sz="0" w:space="0" w:color="auto"/>
        <w:right w:val="none" w:sz="0" w:space="0" w:color="auto"/>
      </w:divBdr>
    </w:div>
    <w:div w:id="294456552">
      <w:bodyDiv w:val="1"/>
      <w:marLeft w:val="0"/>
      <w:marRight w:val="0"/>
      <w:marTop w:val="0"/>
      <w:marBottom w:val="0"/>
      <w:divBdr>
        <w:top w:val="none" w:sz="0" w:space="0" w:color="auto"/>
        <w:left w:val="none" w:sz="0" w:space="0" w:color="auto"/>
        <w:bottom w:val="none" w:sz="0" w:space="0" w:color="auto"/>
        <w:right w:val="none" w:sz="0" w:space="0" w:color="auto"/>
      </w:divBdr>
    </w:div>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558906887">
      <w:bodyDiv w:val="1"/>
      <w:marLeft w:val="0"/>
      <w:marRight w:val="0"/>
      <w:marTop w:val="0"/>
      <w:marBottom w:val="0"/>
      <w:divBdr>
        <w:top w:val="none" w:sz="0" w:space="0" w:color="auto"/>
        <w:left w:val="none" w:sz="0" w:space="0" w:color="auto"/>
        <w:bottom w:val="none" w:sz="0" w:space="0" w:color="auto"/>
        <w:right w:val="none" w:sz="0" w:space="0" w:color="auto"/>
      </w:divBdr>
    </w:div>
    <w:div w:id="609245671">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688802183">
      <w:bodyDiv w:val="1"/>
      <w:marLeft w:val="0"/>
      <w:marRight w:val="0"/>
      <w:marTop w:val="0"/>
      <w:marBottom w:val="0"/>
      <w:divBdr>
        <w:top w:val="none" w:sz="0" w:space="0" w:color="auto"/>
        <w:left w:val="none" w:sz="0" w:space="0" w:color="auto"/>
        <w:bottom w:val="none" w:sz="0" w:space="0" w:color="auto"/>
        <w:right w:val="none" w:sz="0" w:space="0" w:color="auto"/>
      </w:divBdr>
    </w:div>
    <w:div w:id="701983116">
      <w:bodyDiv w:val="1"/>
      <w:marLeft w:val="0"/>
      <w:marRight w:val="0"/>
      <w:marTop w:val="0"/>
      <w:marBottom w:val="0"/>
      <w:divBdr>
        <w:top w:val="none" w:sz="0" w:space="0" w:color="auto"/>
        <w:left w:val="none" w:sz="0" w:space="0" w:color="auto"/>
        <w:bottom w:val="none" w:sz="0" w:space="0" w:color="auto"/>
        <w:right w:val="none" w:sz="0" w:space="0" w:color="auto"/>
      </w:divBdr>
    </w:div>
    <w:div w:id="1010522980">
      <w:bodyDiv w:val="1"/>
      <w:marLeft w:val="0"/>
      <w:marRight w:val="0"/>
      <w:marTop w:val="0"/>
      <w:marBottom w:val="0"/>
      <w:divBdr>
        <w:top w:val="none" w:sz="0" w:space="0" w:color="auto"/>
        <w:left w:val="none" w:sz="0" w:space="0" w:color="auto"/>
        <w:bottom w:val="none" w:sz="0" w:space="0" w:color="auto"/>
        <w:right w:val="none" w:sz="0" w:space="0" w:color="auto"/>
      </w:divBdr>
    </w:div>
    <w:div w:id="1044063828">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32455345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 w:id="1485975965">
      <w:bodyDiv w:val="1"/>
      <w:marLeft w:val="0"/>
      <w:marRight w:val="0"/>
      <w:marTop w:val="0"/>
      <w:marBottom w:val="0"/>
      <w:divBdr>
        <w:top w:val="none" w:sz="0" w:space="0" w:color="auto"/>
        <w:left w:val="none" w:sz="0" w:space="0" w:color="auto"/>
        <w:bottom w:val="none" w:sz="0" w:space="0" w:color="auto"/>
        <w:right w:val="none" w:sz="0" w:space="0" w:color="auto"/>
      </w:divBdr>
    </w:div>
    <w:div w:id="1512989642">
      <w:bodyDiv w:val="1"/>
      <w:marLeft w:val="0"/>
      <w:marRight w:val="0"/>
      <w:marTop w:val="0"/>
      <w:marBottom w:val="0"/>
      <w:divBdr>
        <w:top w:val="none" w:sz="0" w:space="0" w:color="auto"/>
        <w:left w:val="none" w:sz="0" w:space="0" w:color="auto"/>
        <w:bottom w:val="none" w:sz="0" w:space="0" w:color="auto"/>
        <w:right w:val="none" w:sz="0" w:space="0" w:color="auto"/>
      </w:divBdr>
    </w:div>
    <w:div w:id="1513957218">
      <w:bodyDiv w:val="1"/>
      <w:marLeft w:val="0"/>
      <w:marRight w:val="0"/>
      <w:marTop w:val="0"/>
      <w:marBottom w:val="0"/>
      <w:divBdr>
        <w:top w:val="none" w:sz="0" w:space="0" w:color="auto"/>
        <w:left w:val="none" w:sz="0" w:space="0" w:color="auto"/>
        <w:bottom w:val="none" w:sz="0" w:space="0" w:color="auto"/>
        <w:right w:val="none" w:sz="0" w:space="0" w:color="auto"/>
      </w:divBdr>
    </w:div>
    <w:div w:id="1515149594">
      <w:bodyDiv w:val="1"/>
      <w:marLeft w:val="0"/>
      <w:marRight w:val="0"/>
      <w:marTop w:val="0"/>
      <w:marBottom w:val="0"/>
      <w:divBdr>
        <w:top w:val="none" w:sz="0" w:space="0" w:color="auto"/>
        <w:left w:val="none" w:sz="0" w:space="0" w:color="auto"/>
        <w:bottom w:val="none" w:sz="0" w:space="0" w:color="auto"/>
        <w:right w:val="none" w:sz="0" w:space="0" w:color="auto"/>
      </w:divBdr>
    </w:div>
    <w:div w:id="1525557754">
      <w:bodyDiv w:val="1"/>
      <w:marLeft w:val="0"/>
      <w:marRight w:val="0"/>
      <w:marTop w:val="0"/>
      <w:marBottom w:val="0"/>
      <w:divBdr>
        <w:top w:val="none" w:sz="0" w:space="0" w:color="auto"/>
        <w:left w:val="none" w:sz="0" w:space="0" w:color="auto"/>
        <w:bottom w:val="none" w:sz="0" w:space="0" w:color="auto"/>
        <w:right w:val="none" w:sz="0" w:space="0" w:color="auto"/>
      </w:divBdr>
    </w:div>
    <w:div w:id="1599871446">
      <w:bodyDiv w:val="1"/>
      <w:marLeft w:val="0"/>
      <w:marRight w:val="0"/>
      <w:marTop w:val="0"/>
      <w:marBottom w:val="0"/>
      <w:divBdr>
        <w:top w:val="none" w:sz="0" w:space="0" w:color="auto"/>
        <w:left w:val="none" w:sz="0" w:space="0" w:color="auto"/>
        <w:bottom w:val="none" w:sz="0" w:space="0" w:color="auto"/>
        <w:right w:val="none" w:sz="0" w:space="0" w:color="auto"/>
      </w:divBdr>
    </w:div>
    <w:div w:id="1644968390">
      <w:bodyDiv w:val="1"/>
      <w:marLeft w:val="0"/>
      <w:marRight w:val="0"/>
      <w:marTop w:val="0"/>
      <w:marBottom w:val="0"/>
      <w:divBdr>
        <w:top w:val="none" w:sz="0" w:space="0" w:color="auto"/>
        <w:left w:val="none" w:sz="0" w:space="0" w:color="auto"/>
        <w:bottom w:val="none" w:sz="0" w:space="0" w:color="auto"/>
        <w:right w:val="none" w:sz="0" w:space="0" w:color="auto"/>
      </w:divBdr>
    </w:div>
    <w:div w:id="1788036682">
      <w:bodyDiv w:val="1"/>
      <w:marLeft w:val="0"/>
      <w:marRight w:val="0"/>
      <w:marTop w:val="0"/>
      <w:marBottom w:val="0"/>
      <w:divBdr>
        <w:top w:val="none" w:sz="0" w:space="0" w:color="auto"/>
        <w:left w:val="none" w:sz="0" w:space="0" w:color="auto"/>
        <w:bottom w:val="none" w:sz="0" w:space="0" w:color="auto"/>
        <w:right w:val="none" w:sz="0" w:space="0" w:color="auto"/>
      </w:divBdr>
    </w:div>
    <w:div w:id="1809085095">
      <w:bodyDiv w:val="1"/>
      <w:marLeft w:val="0"/>
      <w:marRight w:val="0"/>
      <w:marTop w:val="0"/>
      <w:marBottom w:val="0"/>
      <w:divBdr>
        <w:top w:val="none" w:sz="0" w:space="0" w:color="auto"/>
        <w:left w:val="none" w:sz="0" w:space="0" w:color="auto"/>
        <w:bottom w:val="none" w:sz="0" w:space="0" w:color="auto"/>
        <w:right w:val="none" w:sz="0" w:space="0" w:color="auto"/>
      </w:divBdr>
    </w:div>
    <w:div w:id="1968194965">
      <w:bodyDiv w:val="1"/>
      <w:marLeft w:val="0"/>
      <w:marRight w:val="0"/>
      <w:marTop w:val="0"/>
      <w:marBottom w:val="0"/>
      <w:divBdr>
        <w:top w:val="none" w:sz="0" w:space="0" w:color="auto"/>
        <w:left w:val="none" w:sz="0" w:space="0" w:color="auto"/>
        <w:bottom w:val="none" w:sz="0" w:space="0" w:color="auto"/>
        <w:right w:val="none" w:sz="0" w:space="0" w:color="auto"/>
      </w:divBdr>
    </w:div>
    <w:div w:id="20381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taszim.net/node/5685" TargetMode="External"/><Relationship Id="rId13" Type="http://schemas.openxmlformats.org/officeDocument/2006/relationships/image" Target="cid:image001.jpg@01D4CF71.A17C9EE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cid:image004.png@01D4CF71.A17C9EE0" TargetMode="External"/><Relationship Id="rId7" Type="http://schemas.openxmlformats.org/officeDocument/2006/relationships/hyperlink" Target="http://www.veritaszim.net/node/5680" TargetMode="External"/><Relationship Id="rId12" Type="http://schemas.openxmlformats.org/officeDocument/2006/relationships/image" Target="media/image1.jpeg"/><Relationship Id="rId17" Type="http://schemas.openxmlformats.org/officeDocument/2006/relationships/hyperlink" Target="https://www.facebook.com/veritaszi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4CF71.A17C9EE0"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itaszim.net/" TargetMode="External"/><Relationship Id="rId24" Type="http://schemas.openxmlformats.org/officeDocument/2006/relationships/hyperlink" Target="http://creativecommons.org/licenses/by-nc-sa/4.0/"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cid:image005.png@01D4CF71.A17C9EE0" TargetMode="External"/><Relationship Id="rId10" Type="http://schemas.openxmlformats.org/officeDocument/2006/relationships/hyperlink" Target="mailto:veritas@mango.zw" TargetMode="External"/><Relationship Id="rId19" Type="http://schemas.openxmlformats.org/officeDocument/2006/relationships/image" Target="cid:image003.png@01D4CF71.A17C9EE0" TargetMode="External"/><Relationship Id="rId4" Type="http://schemas.openxmlformats.org/officeDocument/2006/relationships/webSettings" Target="webSettings.xml"/><Relationship Id="rId9" Type="http://schemas.openxmlformats.org/officeDocument/2006/relationships/hyperlink" Target="http://www.veritaszim.net/" TargetMode="External"/><Relationship Id="rId14" Type="http://schemas.openxmlformats.org/officeDocument/2006/relationships/hyperlink" Target="https://twitter.com/veritaszim"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2022-06-01T08:41:00Z</dcterms:created>
  <dcterms:modified xsi:type="dcterms:W3CDTF">2022-06-01T08:41:00Z</dcterms:modified>
</cp:coreProperties>
</file>